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F665BC" w14:textId="77777777" w:rsidR="00157754" w:rsidRPr="00A95C41" w:rsidRDefault="00157754" w:rsidP="00A95C41">
      <w:pPr>
        <w:pStyle w:val="ArticleTitle"/>
      </w:pPr>
      <w:r w:rsidRPr="00A95C41">
        <w:t>Instructions for reproducing the results reported in “Creating a GTAP baseline for 2014 to 2050 using shock-intensive simulations”</w:t>
      </w:r>
    </w:p>
    <w:p w14:paraId="574CB209" w14:textId="3C079F5C" w:rsidR="00A90D35" w:rsidRDefault="00157754" w:rsidP="00A90D35">
      <w:pPr>
        <w:pStyle w:val="Author"/>
      </w:pPr>
      <w:r>
        <w:t xml:space="preserve">Prepared by </w:t>
      </w:r>
      <w:r w:rsidR="00A90D35" w:rsidRPr="00544457">
        <w:t>Maureen T. Rimmer</w:t>
      </w:r>
      <w:r w:rsidR="00A90D35">
        <w:t xml:space="preserve"> </w:t>
      </w:r>
      <w:r w:rsidR="009B1237">
        <w:rPr>
          <w:rStyle w:val="FootnoteReference"/>
        </w:rPr>
        <w:footnoteReference w:id="1"/>
      </w:r>
    </w:p>
    <w:p w14:paraId="1C4BE049" w14:textId="7CAB529F" w:rsidR="00157754" w:rsidRDefault="00A90D35" w:rsidP="00A90D35">
      <w:pPr>
        <w:pStyle w:val="Author"/>
      </w:pPr>
      <w:r w:rsidRPr="00F14634">
        <w:t>February 24, 2025</w:t>
      </w:r>
    </w:p>
    <w:p w14:paraId="55DBF738" w14:textId="77777777" w:rsidR="0069645C" w:rsidRPr="00E3430F" w:rsidRDefault="0069645C" w:rsidP="0069645C">
      <w:pPr>
        <w:pStyle w:val="ParagraphText"/>
      </w:pPr>
      <w:r w:rsidRPr="00E3430F">
        <w:t>Main simulation</w:t>
      </w:r>
      <w:r w:rsidRPr="00E3430F">
        <w:tab/>
      </w:r>
      <w:r w:rsidRPr="00E3430F">
        <w:tab/>
      </w:r>
      <w:r w:rsidRPr="00E3430F">
        <w:tab/>
      </w:r>
      <w:r w:rsidRPr="00E3430F">
        <w:tab/>
        <w:t>GTAP19A71-C72B-R01R-P01P.ZIP</w:t>
      </w:r>
    </w:p>
    <w:p w14:paraId="72A7F330" w14:textId="14A8895A" w:rsidR="0069645C" w:rsidRPr="00E3430F" w:rsidRDefault="0069645C" w:rsidP="0069645C">
      <w:pPr>
        <w:pStyle w:val="ParagraphText"/>
      </w:pPr>
      <w:r w:rsidRPr="00E3430F">
        <w:t>Static simulation: used in Part 3</w:t>
      </w:r>
      <w:r w:rsidRPr="00E3430F">
        <w:tab/>
      </w:r>
      <w:r w:rsidR="00281AA7">
        <w:tab/>
      </w:r>
      <w:r w:rsidRPr="00E3430F">
        <w:t>GTAP19A71-C73B-R01R-P01P.ZIP</w:t>
      </w:r>
    </w:p>
    <w:p w14:paraId="30295C18" w14:textId="319DD039" w:rsidR="0069645C" w:rsidRPr="00E3430F" w:rsidRDefault="0069645C" w:rsidP="00281AA7">
      <w:pPr>
        <w:pStyle w:val="ParagraphText"/>
        <w:ind w:firstLine="0"/>
      </w:pPr>
      <w:r w:rsidRPr="00E3430F">
        <w:t>of the supplementary material</w:t>
      </w:r>
    </w:p>
    <w:p w14:paraId="3DBECEAC" w14:textId="225917C4" w:rsidR="0069645C" w:rsidRPr="00CA4138" w:rsidRDefault="0069645C" w:rsidP="0069645C">
      <w:pPr>
        <w:pStyle w:val="ParagraphText"/>
      </w:pPr>
      <w:r w:rsidRPr="00CA4138">
        <w:t>The results in the main paper can all be deduced by running the main simulation stored in GTAP19A71-C72B-R01R-P01P.ZIP.   This zip needs to be unzipped in Rundynam software</w:t>
      </w:r>
      <w:r>
        <w:t>.</w:t>
      </w:r>
      <w:r w:rsidRPr="00CA4138">
        <w:t xml:space="preserve">  </w:t>
      </w:r>
      <w:r>
        <w:t>This is GEMPACK software produced at the Centre of Policy Studies</w:t>
      </w:r>
      <w:r w:rsidRPr="005564C8">
        <w:t>.</w:t>
      </w:r>
      <w:r w:rsidR="001D1AA4">
        <w:t xml:space="preserve"> </w:t>
      </w:r>
      <w:r w:rsidRPr="005564C8">
        <w:t xml:space="preserve">Details for obtaining Rundynam are at </w:t>
      </w:r>
      <w:hyperlink r:id="rId8" w:history="1">
        <w:r w:rsidRPr="001D1AA4">
          <w:rPr>
            <w:rStyle w:val="Hyperlink"/>
            <w:rFonts w:ascii="Times New Roman" w:hAnsi="Times New Roman" w:cs="Times New Roman"/>
            <w:color w:val="000080"/>
            <w:u w:val="none"/>
          </w:rPr>
          <w:t>https://www.copsmodels.com/gprdyn.htm</w:t>
        </w:r>
      </w:hyperlink>
      <w:r w:rsidRPr="005564C8">
        <w:t xml:space="preserve">. </w:t>
      </w:r>
    </w:p>
    <w:p w14:paraId="5C0B8109" w14:textId="77777777" w:rsidR="0069645C" w:rsidRPr="00CA4138" w:rsidRDefault="0069645C" w:rsidP="0069645C">
      <w:pPr>
        <w:pStyle w:val="ParagraphText"/>
      </w:pPr>
      <w:r w:rsidRPr="00CA4138">
        <w:t>When the main simulation zip file is unzipped in Rundynam the baseline needs to be r</w:t>
      </w:r>
      <w:r>
        <w:t xml:space="preserve">un.  </w:t>
      </w:r>
      <w:r w:rsidRPr="00CA4138">
        <w:t xml:space="preserve">The baseline consists of 5 </w:t>
      </w:r>
      <w:r>
        <w:t>periods</w:t>
      </w:r>
      <w:r w:rsidRPr="00CA4138">
        <w:t xml:space="preserve">: 2014-19, 2019-30, 2030-40 2040-50 and (2015-60). In the paper we present results for the first 4 </w:t>
      </w:r>
      <w:r>
        <w:t>periods</w:t>
      </w:r>
      <w:r w:rsidRPr="00CA4138">
        <w:t xml:space="preserve"> up to 2050.  [We omit the 2050-60 simulation.]   </w:t>
      </w:r>
    </w:p>
    <w:p w14:paraId="40622D55" w14:textId="77777777" w:rsidR="0069645C" w:rsidRPr="00B66EB3" w:rsidRDefault="0069645C" w:rsidP="00B66EB3">
      <w:pPr>
        <w:pStyle w:val="FirstLevelHeading"/>
      </w:pPr>
      <w:r w:rsidRPr="00B66EB3">
        <w:t>Tables of simulation results in section 5</w:t>
      </w:r>
    </w:p>
    <w:p w14:paraId="1171E169" w14:textId="77777777" w:rsidR="0069645C" w:rsidRPr="00C6625B" w:rsidRDefault="0069645C" w:rsidP="0069645C">
      <w:pPr>
        <w:pStyle w:val="ParagraphText"/>
      </w:pPr>
      <w:r w:rsidRPr="00C6625B">
        <w:t xml:space="preserve">All the Tables in section </w:t>
      </w:r>
      <w:r>
        <w:t xml:space="preserve">5 are derived from the results for the 2014-19 baseline in the main simulation.  </w:t>
      </w:r>
    </w:p>
    <w:p w14:paraId="58E13037" w14:textId="6005327E" w:rsidR="0069645C" w:rsidRDefault="0069645C" w:rsidP="0069645C">
      <w:pPr>
        <w:pStyle w:val="ParagraphText"/>
      </w:pPr>
      <w:r w:rsidRPr="00830C65">
        <w:rPr>
          <w:b/>
          <w:bCs/>
        </w:rPr>
        <w:t xml:space="preserve">Table </w:t>
      </w:r>
      <w:r w:rsidR="0049491E">
        <w:rPr>
          <w:b/>
          <w:bCs/>
        </w:rPr>
        <w:t>3</w:t>
      </w:r>
      <w:r>
        <w:t xml:space="preserve"> pre</w:t>
      </w:r>
      <w:r w:rsidRPr="00830C65">
        <w:t xml:space="preserve">sents results </w:t>
      </w:r>
      <w:r>
        <w:t>for</w:t>
      </w:r>
      <w:r w:rsidRPr="00830C65">
        <w:t xml:space="preserve"> 2014-19 for Real </w:t>
      </w:r>
      <w:r>
        <w:t>GDP (</w:t>
      </w:r>
      <w:r w:rsidRPr="00B66EB3">
        <w:rPr>
          <w:i/>
          <w:iCs/>
        </w:rPr>
        <w:t>qgdp</w:t>
      </w:r>
      <w:r>
        <w:t xml:space="preserve"> in GTAP notation), Capital (</w:t>
      </w:r>
      <w:r w:rsidRPr="00B66EB3">
        <w:rPr>
          <w:i/>
          <w:iCs/>
        </w:rPr>
        <w:t>kb</w:t>
      </w:r>
      <w:r>
        <w:t>), Employment (</w:t>
      </w:r>
      <w:r w:rsidRPr="00B66EB3">
        <w:rPr>
          <w:i/>
          <w:iCs/>
        </w:rPr>
        <w:t>lsreg</w:t>
      </w:r>
      <w:r>
        <w:t>), Natural resource use [</w:t>
      </w:r>
      <w:r w:rsidRPr="00B66EB3">
        <w:rPr>
          <w:i/>
          <w:iCs/>
        </w:rPr>
        <w:t>qo(NatRes)</w:t>
      </w:r>
      <w:r>
        <w:t>, Technology contribution to GDP (</w:t>
      </w:r>
      <w:r w:rsidRPr="00B66EB3">
        <w:rPr>
          <w:i/>
          <w:iCs/>
        </w:rPr>
        <w:t>cont_tech</w:t>
      </w:r>
      <w:r>
        <w:t>), Real wage rate (</w:t>
      </w:r>
      <w:r w:rsidRPr="00B66EB3">
        <w:rPr>
          <w:i/>
          <w:iCs/>
        </w:rPr>
        <w:t>realwager</w:t>
      </w:r>
      <w:r>
        <w:t>) and Rate of return on capital (</w:t>
      </w:r>
      <w:r w:rsidRPr="00B66EB3">
        <w:rPr>
          <w:i/>
          <w:iCs/>
        </w:rPr>
        <w:t>rorc</w:t>
      </w:r>
      <w:r>
        <w:t>).</w:t>
      </w:r>
    </w:p>
    <w:p w14:paraId="52039B3A" w14:textId="35AA6FD8" w:rsidR="0069645C" w:rsidRDefault="0069645C" w:rsidP="0069645C">
      <w:pPr>
        <w:pStyle w:val="ParagraphText"/>
      </w:pPr>
      <w:r w:rsidRPr="00830C65">
        <w:rPr>
          <w:b/>
          <w:bCs/>
        </w:rPr>
        <w:t xml:space="preserve">Table </w:t>
      </w:r>
      <w:r w:rsidR="00EA28B8">
        <w:rPr>
          <w:b/>
          <w:bCs/>
        </w:rPr>
        <w:t>4</w:t>
      </w:r>
      <w:r>
        <w:t xml:space="preserve"> pre</w:t>
      </w:r>
      <w:r w:rsidRPr="00830C65">
        <w:t xml:space="preserve">sents results </w:t>
      </w:r>
      <w:r>
        <w:t>for</w:t>
      </w:r>
      <w:r w:rsidRPr="00830C65">
        <w:t xml:space="preserve"> 2014-19 for Real </w:t>
      </w:r>
      <w:r>
        <w:t>GDP (</w:t>
      </w:r>
      <w:r w:rsidRPr="00FE645E">
        <w:rPr>
          <w:i/>
          <w:iCs/>
        </w:rPr>
        <w:t>qgdp</w:t>
      </w:r>
      <w:r>
        <w:t>), Real private consumption (</w:t>
      </w:r>
      <w:r w:rsidRPr="00FE645E">
        <w:rPr>
          <w:i/>
          <w:iCs/>
        </w:rPr>
        <w:t>cr</w:t>
      </w:r>
      <w:r>
        <w:t>), Real government consumption (</w:t>
      </w:r>
      <w:r w:rsidRPr="00FE645E">
        <w:rPr>
          <w:i/>
          <w:iCs/>
        </w:rPr>
        <w:t>gr</w:t>
      </w:r>
      <w:r>
        <w:t>), Real investment (</w:t>
      </w:r>
      <w:r w:rsidRPr="00FE645E">
        <w:rPr>
          <w:i/>
          <w:iCs/>
        </w:rPr>
        <w:t>qcgds</w:t>
      </w:r>
      <w:r>
        <w:t>), Export volumes (</w:t>
      </w:r>
      <w:r w:rsidRPr="00FE645E">
        <w:rPr>
          <w:i/>
          <w:iCs/>
        </w:rPr>
        <w:t>expvol</w:t>
      </w:r>
      <w:r>
        <w:t>), Import volumes (</w:t>
      </w:r>
      <w:r w:rsidRPr="00FE645E">
        <w:rPr>
          <w:i/>
          <w:iCs/>
        </w:rPr>
        <w:t>impvol</w:t>
      </w:r>
      <w:r>
        <w:t xml:space="preserve">), Private consumption </w:t>
      </w:r>
      <w:r>
        <w:lastRenderedPageBreak/>
        <w:t>propensity (</w:t>
      </w:r>
      <w:r w:rsidRPr="002A2DDF">
        <w:rPr>
          <w:i/>
          <w:iCs/>
        </w:rPr>
        <w:t>apcnnp</w:t>
      </w:r>
      <w:r>
        <w:t>), Public consumption propensity (</w:t>
      </w:r>
      <w:r w:rsidRPr="002A2DDF">
        <w:rPr>
          <w:i/>
          <w:iCs/>
        </w:rPr>
        <w:t>dpgov</w:t>
      </w:r>
      <w:r>
        <w:t>), Investment propensity (</w:t>
      </w:r>
      <w:r w:rsidRPr="002A2DDF">
        <w:rPr>
          <w:i/>
          <w:iCs/>
        </w:rPr>
        <w:t>f_ke</w:t>
      </w:r>
      <w:r>
        <w:t>) and Preference twist towards imports (</w:t>
      </w:r>
      <w:r w:rsidRPr="002A2DDF">
        <w:rPr>
          <w:i/>
          <w:iCs/>
        </w:rPr>
        <w:t>twist_src_i</w:t>
      </w:r>
      <w:r>
        <w:t xml:space="preserve">). </w:t>
      </w:r>
    </w:p>
    <w:p w14:paraId="6F66D377" w14:textId="75C00838" w:rsidR="0069645C" w:rsidRPr="00830C65" w:rsidRDefault="0069645C" w:rsidP="0069645C">
      <w:pPr>
        <w:pStyle w:val="ParagraphText"/>
      </w:pPr>
      <w:r w:rsidRPr="00830C65">
        <w:rPr>
          <w:b/>
          <w:bCs/>
        </w:rPr>
        <w:t xml:space="preserve">Table </w:t>
      </w:r>
      <w:r w:rsidR="00D4126C">
        <w:rPr>
          <w:b/>
          <w:bCs/>
        </w:rPr>
        <w:t>5</w:t>
      </w:r>
      <w:r>
        <w:t xml:space="preserve"> pre</w:t>
      </w:r>
      <w:r w:rsidRPr="00830C65">
        <w:t xml:space="preserve">sents results </w:t>
      </w:r>
      <w:r>
        <w:t>for</w:t>
      </w:r>
      <w:r w:rsidRPr="00830C65">
        <w:t xml:space="preserve"> 2014-19 for </w:t>
      </w:r>
      <w:r>
        <w:t>world energy variables coal, oil and gas: Quantity of world output (</w:t>
      </w:r>
      <w:r w:rsidRPr="009C5D66">
        <w:rPr>
          <w:i/>
          <w:iCs/>
        </w:rPr>
        <w:t>qworld</w:t>
      </w:r>
      <w:r>
        <w:t>), Average world price (</w:t>
      </w:r>
      <w:r w:rsidRPr="009C5D66">
        <w:rPr>
          <w:i/>
          <w:iCs/>
        </w:rPr>
        <w:t>pworld</w:t>
      </w:r>
      <w:r>
        <w:t>) and Shifts in world demand (</w:t>
      </w:r>
      <w:r w:rsidRPr="009C5D66">
        <w:rPr>
          <w:i/>
          <w:iCs/>
        </w:rPr>
        <w:t>wldout_sh</w:t>
      </w:r>
      <w:r>
        <w:t xml:space="preserve">).  </w:t>
      </w:r>
    </w:p>
    <w:p w14:paraId="56CB5C70" w14:textId="4C4018B7" w:rsidR="0069645C" w:rsidRDefault="0069645C" w:rsidP="0069645C">
      <w:pPr>
        <w:pStyle w:val="ParagraphText"/>
      </w:pPr>
      <w:r w:rsidRPr="00830C65">
        <w:rPr>
          <w:b/>
          <w:bCs/>
        </w:rPr>
        <w:t xml:space="preserve">Table </w:t>
      </w:r>
      <w:r w:rsidR="00D4126C">
        <w:rPr>
          <w:b/>
          <w:bCs/>
        </w:rPr>
        <w:t>6</w:t>
      </w:r>
      <w:r>
        <w:t xml:space="preserve"> pre</w:t>
      </w:r>
      <w:r w:rsidRPr="00830C65">
        <w:t xml:space="preserve">sents results </w:t>
      </w:r>
      <w:r>
        <w:t>for</w:t>
      </w:r>
      <w:r w:rsidRPr="00830C65">
        <w:t xml:space="preserve"> 2014-19 for </w:t>
      </w:r>
      <w:r>
        <w:t>Price index for GDP (</w:t>
      </w:r>
      <w:r w:rsidRPr="009C5D66">
        <w:rPr>
          <w:i/>
          <w:iCs/>
        </w:rPr>
        <w:t>pgdp_obs</w:t>
      </w:r>
      <w:r>
        <w:t>), Price index for exports (</w:t>
      </w:r>
      <w:r w:rsidRPr="009C5D66">
        <w:rPr>
          <w:i/>
          <w:iCs/>
        </w:rPr>
        <w:t>p_x_obs</w:t>
      </w:r>
      <w:r>
        <w:t>), Export volumes (</w:t>
      </w:r>
      <w:r w:rsidRPr="009C5D66">
        <w:rPr>
          <w:i/>
          <w:iCs/>
        </w:rPr>
        <w:t>expvol</w:t>
      </w:r>
      <w:r>
        <w:t>), Phantom tax on exports from regions (</w:t>
      </w:r>
      <w:r w:rsidRPr="009C5D66">
        <w:rPr>
          <w:i/>
          <w:iCs/>
        </w:rPr>
        <w:t>phtx_i</w:t>
      </w:r>
      <w:r>
        <w:t>) and Preference shifts towards a region’s exports (</w:t>
      </w:r>
      <w:r w:rsidRPr="009C5D66">
        <w:rPr>
          <w:i/>
          <w:iCs/>
        </w:rPr>
        <w:t>f3_twistmd</w:t>
      </w:r>
      <w:r>
        <w:t>).</w:t>
      </w:r>
    </w:p>
    <w:p w14:paraId="52A61738" w14:textId="0BE9F8CD" w:rsidR="0069645C" w:rsidRDefault="0069645C" w:rsidP="0069645C">
      <w:pPr>
        <w:pStyle w:val="ParagraphText"/>
      </w:pPr>
      <w:r w:rsidRPr="00830C65">
        <w:rPr>
          <w:b/>
          <w:bCs/>
        </w:rPr>
        <w:t xml:space="preserve">Table </w:t>
      </w:r>
      <w:r w:rsidR="00836ED5">
        <w:rPr>
          <w:b/>
          <w:bCs/>
        </w:rPr>
        <w:t>7</w:t>
      </w:r>
      <w:r>
        <w:t xml:space="preserve"> pre</w:t>
      </w:r>
      <w:r w:rsidRPr="00830C65">
        <w:t xml:space="preserve">sents results </w:t>
      </w:r>
      <w:r>
        <w:t>for</w:t>
      </w:r>
      <w:r w:rsidRPr="00830C65">
        <w:t xml:space="preserve"> 2014-19 for </w:t>
      </w:r>
      <w:r>
        <w:t>Price index for imports (</w:t>
      </w:r>
      <w:r w:rsidRPr="009C5D66">
        <w:rPr>
          <w:i/>
          <w:iCs/>
        </w:rPr>
        <w:t>p_m_obs</w:t>
      </w:r>
      <w:r>
        <w:t xml:space="preserve">) and Discriminatory phantom tax on exports </w:t>
      </w:r>
      <w:r>
        <w:rPr>
          <w:i/>
          <w:iCs/>
        </w:rPr>
        <w:t>to</w:t>
      </w:r>
      <w:r>
        <w:t xml:space="preserve"> regions (</w:t>
      </w:r>
      <w:r w:rsidRPr="009C5D66">
        <w:rPr>
          <w:i/>
          <w:iCs/>
        </w:rPr>
        <w:t>phtx_i2</w:t>
      </w:r>
      <w:r>
        <w:t>).</w:t>
      </w:r>
    </w:p>
    <w:p w14:paraId="48D593B6" w14:textId="097140CA" w:rsidR="0069645C" w:rsidRDefault="0069645C" w:rsidP="0069645C">
      <w:pPr>
        <w:pStyle w:val="ParagraphText"/>
      </w:pPr>
      <w:r w:rsidRPr="00830C65">
        <w:rPr>
          <w:b/>
          <w:bCs/>
        </w:rPr>
        <w:t xml:space="preserve">Table </w:t>
      </w:r>
      <w:r w:rsidR="00D90AD1">
        <w:rPr>
          <w:b/>
          <w:bCs/>
        </w:rPr>
        <w:t>8</w:t>
      </w:r>
      <w:r>
        <w:t xml:space="preserve"> pre</w:t>
      </w:r>
      <w:r w:rsidRPr="00830C65">
        <w:t xml:space="preserve">sents results </w:t>
      </w:r>
      <w:r>
        <w:t>for</w:t>
      </w:r>
      <w:r w:rsidRPr="00830C65">
        <w:t xml:space="preserve"> 2014-19 for </w:t>
      </w:r>
      <w:r>
        <w:t>Price index for GDP (</w:t>
      </w:r>
      <w:r w:rsidRPr="009C5D66">
        <w:rPr>
          <w:i/>
          <w:iCs/>
        </w:rPr>
        <w:t>pgdp_obs</w:t>
      </w:r>
      <w:r>
        <w:t>), Price of investment (</w:t>
      </w:r>
      <w:r w:rsidRPr="009C5D66">
        <w:rPr>
          <w:i/>
          <w:iCs/>
        </w:rPr>
        <w:t>p_i_obs</w:t>
      </w:r>
      <w:r>
        <w:t>) and Productivity of capital goods (</w:t>
      </w:r>
      <w:r w:rsidRPr="009C5D66">
        <w:rPr>
          <w:i/>
          <w:iCs/>
        </w:rPr>
        <w:t>a_cgds</w:t>
      </w:r>
      <w:r>
        <w:t xml:space="preserve">). </w:t>
      </w:r>
    </w:p>
    <w:p w14:paraId="44909B30" w14:textId="2B96C89B" w:rsidR="0069645C" w:rsidRDefault="0069645C" w:rsidP="0069645C">
      <w:pPr>
        <w:pStyle w:val="ParagraphText"/>
      </w:pPr>
      <w:r w:rsidRPr="00830C65">
        <w:rPr>
          <w:b/>
          <w:bCs/>
        </w:rPr>
        <w:t xml:space="preserve">Table </w:t>
      </w:r>
      <w:r w:rsidR="00D90AD1">
        <w:rPr>
          <w:b/>
          <w:bCs/>
        </w:rPr>
        <w:t>9</w:t>
      </w:r>
      <w:r>
        <w:rPr>
          <w:b/>
          <w:bCs/>
        </w:rPr>
        <w:t xml:space="preserve"> </w:t>
      </w:r>
      <w:r>
        <w:t xml:space="preserve">was created using 2014 data items and variables for 2014-19.  The data items for 2014 are in columns (1) and (2) of the table below.  The variables are in columns (3) and (4).  Columns (5) to (7) show the results in Table </w:t>
      </w:r>
      <w:r w:rsidR="002E3756">
        <w:t>9</w:t>
      </w:r>
      <w:r>
        <w:t>.   Row 3 from the table shows how the results in columns (5) to (7) were created from the data and simulation variables.</w:t>
      </w:r>
    </w:p>
    <w:p w14:paraId="7A9E53C1" w14:textId="39E13158" w:rsidR="0069645C" w:rsidRDefault="0069645C" w:rsidP="0069645C">
      <w:pPr>
        <w:pStyle w:val="ParagraphText"/>
      </w:pPr>
      <w:r>
        <w:t>The change in real wealth is changes in accumulated savings plus other factors</w:t>
      </w:r>
      <w:r w:rsidR="009D1091">
        <w:t>.</w:t>
      </w:r>
    </w:p>
    <w:p w14:paraId="7E348DA4" w14:textId="77777777" w:rsidR="00153E3C" w:rsidRDefault="00153E3C">
      <w:pPr>
        <w:rPr>
          <w:rFonts w:ascii="Book Antiqua" w:hAnsi="Book Antiqua"/>
          <w:b/>
          <w:sz w:val="20"/>
        </w:rPr>
      </w:pPr>
      <w:r>
        <w:br w:type="page"/>
      </w:r>
    </w:p>
    <w:p w14:paraId="06F5A99D" w14:textId="529A99FB" w:rsidR="00153E3C" w:rsidRPr="004B0B2E" w:rsidRDefault="00153E3C" w:rsidP="00153E3C">
      <w:pPr>
        <w:pStyle w:val="TableTitle"/>
        <w:rPr>
          <w:b w:val="0"/>
          <w:bCs/>
        </w:rPr>
      </w:pPr>
      <w:r w:rsidRPr="004B0B2E">
        <w:rPr>
          <w:b w:val="0"/>
          <w:bCs/>
        </w:rPr>
        <w:lastRenderedPageBreak/>
        <w:t xml:space="preserve">Table showing data and variables used in creating Table </w:t>
      </w:r>
      <w:r w:rsidR="00292B46" w:rsidRPr="004B0B2E">
        <w:rPr>
          <w:b w:val="0"/>
          <w:bCs/>
        </w:rPr>
        <w:t>9</w:t>
      </w:r>
    </w:p>
    <w:tbl>
      <w:tblPr>
        <w:tblStyle w:val="TableGrid"/>
        <w:tblW w:w="9924" w:type="dxa"/>
        <w:tblInd w:w="-998"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135"/>
        <w:gridCol w:w="1134"/>
        <w:gridCol w:w="992"/>
        <w:gridCol w:w="1134"/>
        <w:gridCol w:w="1418"/>
        <w:gridCol w:w="1417"/>
        <w:gridCol w:w="1134"/>
        <w:gridCol w:w="1560"/>
      </w:tblGrid>
      <w:tr w:rsidR="00016024" w:rsidRPr="00016024" w14:paraId="2A793A2A" w14:textId="77777777" w:rsidTr="00A70AB0">
        <w:trPr>
          <w:trHeight w:val="384"/>
        </w:trPr>
        <w:tc>
          <w:tcPr>
            <w:tcW w:w="1135" w:type="dxa"/>
            <w:tcBorders>
              <w:top w:val="single" w:sz="4" w:space="0" w:color="auto"/>
              <w:bottom w:val="single" w:sz="4" w:space="0" w:color="auto"/>
            </w:tcBorders>
          </w:tcPr>
          <w:p w14:paraId="69ED65F5" w14:textId="77777777" w:rsidR="00016024" w:rsidRPr="00016024" w:rsidRDefault="00016024" w:rsidP="00D34EF7">
            <w:pPr>
              <w:rPr>
                <w:rFonts w:ascii="Book Antiqua" w:hAnsi="Book Antiqua"/>
                <w:sz w:val="16"/>
                <w:szCs w:val="16"/>
              </w:rPr>
            </w:pPr>
          </w:p>
        </w:tc>
        <w:tc>
          <w:tcPr>
            <w:tcW w:w="1134" w:type="dxa"/>
            <w:tcBorders>
              <w:top w:val="single" w:sz="4" w:space="0" w:color="auto"/>
              <w:bottom w:val="single" w:sz="4" w:space="0" w:color="auto"/>
            </w:tcBorders>
            <w:vAlign w:val="center"/>
          </w:tcPr>
          <w:p w14:paraId="536D680E" w14:textId="77777777" w:rsidR="00016024" w:rsidRPr="00016024" w:rsidRDefault="00016024" w:rsidP="002F383F">
            <w:pPr>
              <w:jc w:val="center"/>
              <w:rPr>
                <w:rFonts w:ascii="Book Antiqua" w:hAnsi="Book Antiqua"/>
                <w:sz w:val="16"/>
                <w:szCs w:val="16"/>
              </w:rPr>
            </w:pPr>
            <w:r w:rsidRPr="00016024">
              <w:rPr>
                <w:rFonts w:ascii="Book Antiqua" w:hAnsi="Book Antiqua"/>
                <w:sz w:val="16"/>
                <w:szCs w:val="16"/>
              </w:rPr>
              <w:t>RealWealth</w:t>
            </w:r>
          </w:p>
          <w:p w14:paraId="273DCB30" w14:textId="77777777" w:rsidR="00016024" w:rsidRPr="00016024" w:rsidRDefault="00016024" w:rsidP="002F383F">
            <w:pPr>
              <w:jc w:val="center"/>
              <w:rPr>
                <w:rFonts w:ascii="Book Antiqua" w:hAnsi="Book Antiqua"/>
                <w:sz w:val="16"/>
                <w:szCs w:val="16"/>
              </w:rPr>
            </w:pPr>
            <w:r w:rsidRPr="00016024">
              <w:rPr>
                <w:rFonts w:ascii="Book Antiqua" w:hAnsi="Book Antiqua"/>
                <w:sz w:val="16"/>
                <w:szCs w:val="16"/>
              </w:rPr>
              <w:t>2014</w:t>
            </w:r>
          </w:p>
        </w:tc>
        <w:tc>
          <w:tcPr>
            <w:tcW w:w="992" w:type="dxa"/>
            <w:tcBorders>
              <w:top w:val="single" w:sz="4" w:space="0" w:color="auto"/>
              <w:bottom w:val="single" w:sz="4" w:space="0" w:color="auto"/>
            </w:tcBorders>
            <w:vAlign w:val="center"/>
          </w:tcPr>
          <w:p w14:paraId="08A8ABB6" w14:textId="77777777" w:rsidR="00016024" w:rsidRPr="00016024" w:rsidRDefault="00016024" w:rsidP="002F383F">
            <w:pPr>
              <w:jc w:val="center"/>
              <w:rPr>
                <w:rFonts w:ascii="Book Antiqua" w:hAnsi="Book Antiqua"/>
                <w:sz w:val="16"/>
                <w:szCs w:val="16"/>
              </w:rPr>
            </w:pPr>
            <w:r w:rsidRPr="00016024">
              <w:rPr>
                <w:rFonts w:ascii="Book Antiqua" w:hAnsi="Book Antiqua"/>
                <w:sz w:val="16"/>
                <w:szCs w:val="16"/>
              </w:rPr>
              <w:t>GDP 2014</w:t>
            </w:r>
          </w:p>
        </w:tc>
        <w:tc>
          <w:tcPr>
            <w:tcW w:w="1134" w:type="dxa"/>
            <w:tcBorders>
              <w:top w:val="single" w:sz="4" w:space="0" w:color="auto"/>
              <w:bottom w:val="single" w:sz="4" w:space="0" w:color="auto"/>
            </w:tcBorders>
            <w:vAlign w:val="center"/>
          </w:tcPr>
          <w:p w14:paraId="49D00C3B" w14:textId="77777777" w:rsidR="00016024" w:rsidRPr="00016024" w:rsidRDefault="00016024" w:rsidP="002F383F">
            <w:pPr>
              <w:jc w:val="center"/>
              <w:rPr>
                <w:rFonts w:ascii="Book Antiqua" w:hAnsi="Book Antiqua"/>
                <w:sz w:val="16"/>
                <w:szCs w:val="16"/>
              </w:rPr>
            </w:pPr>
            <w:r w:rsidRPr="00016024">
              <w:rPr>
                <w:rFonts w:ascii="Book Antiqua" w:hAnsi="Book Antiqua"/>
                <w:sz w:val="16"/>
                <w:szCs w:val="16"/>
              </w:rPr>
              <w:t>% ch real wealth 2014-19</w:t>
            </w:r>
          </w:p>
        </w:tc>
        <w:tc>
          <w:tcPr>
            <w:tcW w:w="1418" w:type="dxa"/>
            <w:tcBorders>
              <w:top w:val="single" w:sz="4" w:space="0" w:color="auto"/>
              <w:bottom w:val="single" w:sz="4" w:space="0" w:color="auto"/>
            </w:tcBorders>
            <w:vAlign w:val="center"/>
          </w:tcPr>
          <w:p w14:paraId="4D72063B" w14:textId="77777777"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Contributions of other effects on wealth between 2014 &amp; 2019</w:t>
            </w:r>
          </w:p>
        </w:tc>
        <w:tc>
          <w:tcPr>
            <w:tcW w:w="1417" w:type="dxa"/>
            <w:tcBorders>
              <w:top w:val="single" w:sz="4" w:space="0" w:color="auto"/>
              <w:bottom w:val="single" w:sz="4" w:space="0" w:color="auto"/>
            </w:tcBorders>
            <w:vAlign w:val="center"/>
          </w:tcPr>
          <w:p w14:paraId="2A65D443" w14:textId="77777777"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Change in real wealth between 2014 &amp; 2019</w:t>
            </w:r>
          </w:p>
        </w:tc>
        <w:tc>
          <w:tcPr>
            <w:tcW w:w="1134" w:type="dxa"/>
            <w:tcBorders>
              <w:top w:val="single" w:sz="4" w:space="0" w:color="auto"/>
              <w:bottom w:val="single" w:sz="4" w:space="0" w:color="auto"/>
            </w:tcBorders>
            <w:vAlign w:val="center"/>
          </w:tcPr>
          <w:p w14:paraId="1F8CC51D" w14:textId="0DE35700"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Real accumulated saving: 2014, 2015, 2016, 2017 &amp; 2018</w:t>
            </w:r>
          </w:p>
        </w:tc>
        <w:tc>
          <w:tcPr>
            <w:tcW w:w="1560" w:type="dxa"/>
            <w:tcBorders>
              <w:top w:val="single" w:sz="4" w:space="0" w:color="auto"/>
              <w:bottom w:val="single" w:sz="4" w:space="0" w:color="auto"/>
            </w:tcBorders>
            <w:vAlign w:val="center"/>
          </w:tcPr>
          <w:p w14:paraId="7672BAE7" w14:textId="77777777"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Contributions of other effects on wealth between 2014 &amp; 2019</w:t>
            </w:r>
          </w:p>
        </w:tc>
      </w:tr>
      <w:tr w:rsidR="00016024" w:rsidRPr="00016024" w14:paraId="4CDC2951" w14:textId="77777777" w:rsidTr="00A70AB0">
        <w:trPr>
          <w:trHeight w:val="43"/>
        </w:trPr>
        <w:tc>
          <w:tcPr>
            <w:tcW w:w="1135" w:type="dxa"/>
            <w:tcBorders>
              <w:top w:val="single" w:sz="4" w:space="0" w:color="auto"/>
            </w:tcBorders>
          </w:tcPr>
          <w:p w14:paraId="07B915AF" w14:textId="77777777" w:rsidR="00016024" w:rsidRPr="00016024" w:rsidRDefault="00016024" w:rsidP="00D34EF7">
            <w:pPr>
              <w:rPr>
                <w:rFonts w:ascii="Book Antiqua" w:hAnsi="Book Antiqua"/>
                <w:sz w:val="16"/>
                <w:szCs w:val="16"/>
              </w:rPr>
            </w:pPr>
          </w:p>
        </w:tc>
        <w:tc>
          <w:tcPr>
            <w:tcW w:w="1134" w:type="dxa"/>
            <w:tcBorders>
              <w:top w:val="single" w:sz="4" w:space="0" w:color="auto"/>
            </w:tcBorders>
            <w:vAlign w:val="center"/>
          </w:tcPr>
          <w:p w14:paraId="6281856E" w14:textId="77777777" w:rsidR="00016024" w:rsidRPr="00016024" w:rsidRDefault="00016024" w:rsidP="002F383F">
            <w:pPr>
              <w:jc w:val="center"/>
              <w:rPr>
                <w:rFonts w:ascii="Book Antiqua" w:hAnsi="Book Antiqua"/>
                <w:sz w:val="16"/>
                <w:szCs w:val="16"/>
              </w:rPr>
            </w:pPr>
            <w:r w:rsidRPr="00016024">
              <w:rPr>
                <w:rFonts w:ascii="Book Antiqua" w:hAnsi="Book Antiqua"/>
                <w:sz w:val="16"/>
                <w:szCs w:val="16"/>
              </w:rPr>
              <w:t>(WQHHLD)</w:t>
            </w:r>
          </w:p>
        </w:tc>
        <w:tc>
          <w:tcPr>
            <w:tcW w:w="992" w:type="dxa"/>
            <w:tcBorders>
              <w:top w:val="single" w:sz="4" w:space="0" w:color="auto"/>
            </w:tcBorders>
            <w:vAlign w:val="center"/>
          </w:tcPr>
          <w:p w14:paraId="1DE8C945" w14:textId="77777777" w:rsidR="00016024" w:rsidRPr="00016024" w:rsidRDefault="00016024" w:rsidP="002F383F">
            <w:pPr>
              <w:jc w:val="center"/>
              <w:rPr>
                <w:rFonts w:ascii="Book Antiqua" w:hAnsi="Book Antiqua"/>
                <w:sz w:val="16"/>
                <w:szCs w:val="16"/>
              </w:rPr>
            </w:pPr>
            <w:r w:rsidRPr="00016024">
              <w:rPr>
                <w:rFonts w:ascii="Book Antiqua" w:hAnsi="Book Antiqua"/>
                <w:sz w:val="16"/>
                <w:szCs w:val="16"/>
              </w:rPr>
              <w:t>(GDPIN)</w:t>
            </w:r>
          </w:p>
        </w:tc>
        <w:tc>
          <w:tcPr>
            <w:tcW w:w="1134" w:type="dxa"/>
            <w:tcBorders>
              <w:top w:val="single" w:sz="4" w:space="0" w:color="auto"/>
            </w:tcBorders>
            <w:vAlign w:val="center"/>
          </w:tcPr>
          <w:p w14:paraId="067E1CA9" w14:textId="77777777" w:rsidR="00016024" w:rsidRPr="00016024" w:rsidRDefault="00016024" w:rsidP="002F383F">
            <w:pPr>
              <w:jc w:val="center"/>
              <w:rPr>
                <w:rFonts w:ascii="Book Antiqua" w:hAnsi="Book Antiqua"/>
                <w:sz w:val="16"/>
                <w:szCs w:val="16"/>
              </w:rPr>
            </w:pPr>
            <w:r w:rsidRPr="00016024">
              <w:rPr>
                <w:rFonts w:ascii="Book Antiqua" w:hAnsi="Book Antiqua"/>
                <w:sz w:val="16"/>
                <w:szCs w:val="16"/>
              </w:rPr>
              <w:t>(rwealth)</w:t>
            </w:r>
          </w:p>
        </w:tc>
        <w:tc>
          <w:tcPr>
            <w:tcW w:w="1418" w:type="dxa"/>
            <w:tcBorders>
              <w:top w:val="single" w:sz="4" w:space="0" w:color="auto"/>
            </w:tcBorders>
            <w:vAlign w:val="center"/>
          </w:tcPr>
          <w:p w14:paraId="2F1E228A" w14:textId="77777777" w:rsidR="00016024" w:rsidRPr="00016024" w:rsidRDefault="00016024" w:rsidP="002F383F">
            <w:pPr>
              <w:jc w:val="center"/>
              <w:rPr>
                <w:rFonts w:ascii="Book Antiqua" w:hAnsi="Book Antiqua"/>
                <w:sz w:val="16"/>
                <w:szCs w:val="16"/>
              </w:rPr>
            </w:pPr>
            <w:r w:rsidRPr="00016024">
              <w:rPr>
                <w:rFonts w:ascii="Book Antiqua" w:hAnsi="Book Antiqua"/>
                <w:sz w:val="16"/>
                <w:szCs w:val="16"/>
              </w:rPr>
              <w:t>(d_swqh_b)</w:t>
            </w:r>
          </w:p>
        </w:tc>
        <w:tc>
          <w:tcPr>
            <w:tcW w:w="1417" w:type="dxa"/>
            <w:tcBorders>
              <w:top w:val="single" w:sz="4" w:space="0" w:color="auto"/>
            </w:tcBorders>
            <w:vAlign w:val="center"/>
          </w:tcPr>
          <w:p w14:paraId="321FC2E1" w14:textId="77777777" w:rsidR="00016024" w:rsidRPr="00016024" w:rsidRDefault="00016024" w:rsidP="002F383F">
            <w:pPr>
              <w:jc w:val="center"/>
              <w:rPr>
                <w:rFonts w:ascii="Book Antiqua" w:hAnsi="Book Antiqua"/>
                <w:sz w:val="16"/>
                <w:szCs w:val="16"/>
              </w:rPr>
            </w:pPr>
          </w:p>
        </w:tc>
        <w:tc>
          <w:tcPr>
            <w:tcW w:w="1134" w:type="dxa"/>
            <w:tcBorders>
              <w:top w:val="single" w:sz="4" w:space="0" w:color="auto"/>
            </w:tcBorders>
            <w:vAlign w:val="center"/>
          </w:tcPr>
          <w:p w14:paraId="0783F4CE" w14:textId="77777777" w:rsidR="00016024" w:rsidRPr="00016024" w:rsidRDefault="00016024" w:rsidP="002F383F">
            <w:pPr>
              <w:jc w:val="center"/>
              <w:rPr>
                <w:rFonts w:ascii="Book Antiqua" w:hAnsi="Book Antiqua"/>
                <w:sz w:val="16"/>
                <w:szCs w:val="16"/>
              </w:rPr>
            </w:pPr>
          </w:p>
        </w:tc>
        <w:tc>
          <w:tcPr>
            <w:tcW w:w="1560" w:type="dxa"/>
            <w:tcBorders>
              <w:top w:val="single" w:sz="4" w:space="0" w:color="auto"/>
            </w:tcBorders>
            <w:vAlign w:val="center"/>
          </w:tcPr>
          <w:p w14:paraId="6C5325C0" w14:textId="77777777" w:rsidR="00016024" w:rsidRPr="00016024" w:rsidRDefault="00016024" w:rsidP="002F383F">
            <w:pPr>
              <w:jc w:val="center"/>
              <w:rPr>
                <w:rFonts w:ascii="Book Antiqua" w:hAnsi="Book Antiqua"/>
                <w:sz w:val="16"/>
                <w:szCs w:val="16"/>
              </w:rPr>
            </w:pPr>
          </w:p>
        </w:tc>
      </w:tr>
      <w:tr w:rsidR="00016024" w:rsidRPr="00016024" w14:paraId="43FACDA4" w14:textId="77777777" w:rsidTr="00A70AB0">
        <w:trPr>
          <w:trHeight w:val="43"/>
        </w:trPr>
        <w:tc>
          <w:tcPr>
            <w:tcW w:w="1135" w:type="dxa"/>
          </w:tcPr>
          <w:p w14:paraId="3529D7ED" w14:textId="77777777" w:rsidR="00016024" w:rsidRPr="00016024" w:rsidRDefault="00016024" w:rsidP="00D34EF7">
            <w:pPr>
              <w:jc w:val="center"/>
              <w:rPr>
                <w:rFonts w:ascii="Book Antiqua" w:hAnsi="Book Antiqua"/>
                <w:sz w:val="16"/>
                <w:szCs w:val="16"/>
              </w:rPr>
            </w:pPr>
          </w:p>
        </w:tc>
        <w:tc>
          <w:tcPr>
            <w:tcW w:w="1134" w:type="dxa"/>
            <w:vAlign w:val="center"/>
          </w:tcPr>
          <w:p w14:paraId="214D6E39" w14:textId="77777777" w:rsidR="00016024" w:rsidRPr="00016024" w:rsidRDefault="00016024" w:rsidP="002F383F">
            <w:pPr>
              <w:jc w:val="center"/>
              <w:rPr>
                <w:rFonts w:ascii="Book Antiqua" w:hAnsi="Book Antiqua"/>
                <w:sz w:val="16"/>
                <w:szCs w:val="16"/>
              </w:rPr>
            </w:pPr>
            <w:r w:rsidRPr="00016024">
              <w:rPr>
                <w:rFonts w:ascii="Book Antiqua" w:hAnsi="Book Antiqua"/>
                <w:sz w:val="16"/>
                <w:szCs w:val="16"/>
              </w:rPr>
              <w:t>(1)</w:t>
            </w:r>
          </w:p>
        </w:tc>
        <w:tc>
          <w:tcPr>
            <w:tcW w:w="992" w:type="dxa"/>
            <w:vAlign w:val="center"/>
          </w:tcPr>
          <w:p w14:paraId="328A535B" w14:textId="77777777" w:rsidR="00016024" w:rsidRPr="00016024" w:rsidRDefault="00016024" w:rsidP="002F383F">
            <w:pPr>
              <w:jc w:val="center"/>
              <w:rPr>
                <w:rFonts w:ascii="Book Antiqua" w:hAnsi="Book Antiqua"/>
                <w:sz w:val="16"/>
                <w:szCs w:val="16"/>
              </w:rPr>
            </w:pPr>
            <w:r w:rsidRPr="00016024">
              <w:rPr>
                <w:rFonts w:ascii="Book Antiqua" w:hAnsi="Book Antiqua"/>
                <w:sz w:val="16"/>
                <w:szCs w:val="16"/>
              </w:rPr>
              <w:t>(2)</w:t>
            </w:r>
          </w:p>
        </w:tc>
        <w:tc>
          <w:tcPr>
            <w:tcW w:w="1134" w:type="dxa"/>
            <w:vAlign w:val="center"/>
          </w:tcPr>
          <w:p w14:paraId="7FAC8AF1" w14:textId="77777777" w:rsidR="00016024" w:rsidRPr="00016024" w:rsidRDefault="00016024" w:rsidP="002F383F">
            <w:pPr>
              <w:jc w:val="center"/>
              <w:rPr>
                <w:rFonts w:ascii="Book Antiqua" w:hAnsi="Book Antiqua"/>
                <w:sz w:val="16"/>
                <w:szCs w:val="16"/>
              </w:rPr>
            </w:pPr>
            <w:r w:rsidRPr="00016024">
              <w:rPr>
                <w:rFonts w:ascii="Book Antiqua" w:hAnsi="Book Antiqua"/>
                <w:sz w:val="16"/>
                <w:szCs w:val="16"/>
              </w:rPr>
              <w:t>(3)</w:t>
            </w:r>
          </w:p>
        </w:tc>
        <w:tc>
          <w:tcPr>
            <w:tcW w:w="1418" w:type="dxa"/>
            <w:vAlign w:val="center"/>
          </w:tcPr>
          <w:p w14:paraId="195B4B4B" w14:textId="77777777" w:rsidR="00016024" w:rsidRPr="00016024" w:rsidRDefault="00016024" w:rsidP="002F383F">
            <w:pPr>
              <w:jc w:val="center"/>
              <w:rPr>
                <w:rFonts w:ascii="Book Antiqua" w:hAnsi="Book Antiqua"/>
                <w:sz w:val="16"/>
                <w:szCs w:val="16"/>
              </w:rPr>
            </w:pPr>
            <w:r w:rsidRPr="00016024">
              <w:rPr>
                <w:rFonts w:ascii="Book Antiqua" w:hAnsi="Book Antiqua"/>
                <w:sz w:val="16"/>
                <w:szCs w:val="16"/>
              </w:rPr>
              <w:t>(4)</w:t>
            </w:r>
          </w:p>
        </w:tc>
        <w:tc>
          <w:tcPr>
            <w:tcW w:w="1417" w:type="dxa"/>
            <w:vAlign w:val="center"/>
          </w:tcPr>
          <w:p w14:paraId="5E644CF1" w14:textId="77777777" w:rsidR="00016024" w:rsidRPr="00016024" w:rsidRDefault="00016024" w:rsidP="002F383F">
            <w:pPr>
              <w:jc w:val="center"/>
              <w:rPr>
                <w:rFonts w:ascii="Book Antiqua" w:hAnsi="Book Antiqua"/>
                <w:sz w:val="16"/>
                <w:szCs w:val="16"/>
              </w:rPr>
            </w:pPr>
            <w:r w:rsidRPr="00016024">
              <w:rPr>
                <w:rFonts w:ascii="Book Antiqua" w:hAnsi="Book Antiqua"/>
                <w:sz w:val="16"/>
                <w:szCs w:val="16"/>
              </w:rPr>
              <w:t>(5)=(1)*(3)/(2)</w:t>
            </w:r>
          </w:p>
        </w:tc>
        <w:tc>
          <w:tcPr>
            <w:tcW w:w="1134" w:type="dxa"/>
            <w:vAlign w:val="center"/>
          </w:tcPr>
          <w:p w14:paraId="2105EB7D" w14:textId="0EE42B38" w:rsidR="00016024" w:rsidRPr="00016024" w:rsidRDefault="00016024" w:rsidP="002F383F">
            <w:pPr>
              <w:jc w:val="center"/>
              <w:rPr>
                <w:rFonts w:ascii="Book Antiqua" w:hAnsi="Book Antiqua"/>
                <w:sz w:val="16"/>
                <w:szCs w:val="16"/>
              </w:rPr>
            </w:pPr>
            <w:r w:rsidRPr="00016024">
              <w:rPr>
                <w:rFonts w:ascii="Book Antiqua" w:hAnsi="Book Antiqua"/>
                <w:sz w:val="16"/>
                <w:szCs w:val="16"/>
              </w:rPr>
              <w:t>(6)=(5)-(7)</w:t>
            </w:r>
          </w:p>
        </w:tc>
        <w:tc>
          <w:tcPr>
            <w:tcW w:w="1560" w:type="dxa"/>
            <w:vAlign w:val="center"/>
          </w:tcPr>
          <w:p w14:paraId="7B27E14A" w14:textId="77777777" w:rsidR="00016024" w:rsidRPr="00016024" w:rsidRDefault="00016024" w:rsidP="002F383F">
            <w:pPr>
              <w:jc w:val="center"/>
              <w:rPr>
                <w:rFonts w:ascii="Book Antiqua" w:hAnsi="Book Antiqua"/>
                <w:sz w:val="16"/>
                <w:szCs w:val="16"/>
              </w:rPr>
            </w:pPr>
            <w:r w:rsidRPr="00016024">
              <w:rPr>
                <w:rFonts w:ascii="Book Antiqua" w:hAnsi="Book Antiqua"/>
                <w:sz w:val="16"/>
                <w:szCs w:val="16"/>
              </w:rPr>
              <w:t>(7) = 100*(4)/(2)</w:t>
            </w:r>
          </w:p>
        </w:tc>
      </w:tr>
      <w:tr w:rsidR="007C760E" w:rsidRPr="00016024" w14:paraId="6838027C" w14:textId="77777777" w:rsidTr="00A70AB0">
        <w:trPr>
          <w:trHeight w:val="43"/>
        </w:trPr>
        <w:tc>
          <w:tcPr>
            <w:tcW w:w="1135" w:type="dxa"/>
            <w:tcBorders>
              <w:bottom w:val="single" w:sz="4" w:space="0" w:color="auto"/>
            </w:tcBorders>
            <w:vAlign w:val="bottom"/>
          </w:tcPr>
          <w:p w14:paraId="07AFECDD" w14:textId="77777777" w:rsidR="00016024" w:rsidRPr="00016024" w:rsidRDefault="00016024" w:rsidP="00D34EF7">
            <w:pPr>
              <w:rPr>
                <w:rFonts w:ascii="Book Antiqua" w:hAnsi="Book Antiqua"/>
                <w:color w:val="000000"/>
                <w:sz w:val="16"/>
                <w:szCs w:val="16"/>
              </w:rPr>
            </w:pPr>
          </w:p>
        </w:tc>
        <w:tc>
          <w:tcPr>
            <w:tcW w:w="1134" w:type="dxa"/>
            <w:tcBorders>
              <w:bottom w:val="single" w:sz="4" w:space="0" w:color="auto"/>
            </w:tcBorders>
            <w:vAlign w:val="center"/>
          </w:tcPr>
          <w:p w14:paraId="031E9D6D" w14:textId="77777777" w:rsidR="00016024" w:rsidRPr="00016024" w:rsidRDefault="00016024" w:rsidP="002F383F">
            <w:pPr>
              <w:jc w:val="center"/>
              <w:rPr>
                <w:rFonts w:ascii="Book Antiqua" w:hAnsi="Book Antiqua"/>
                <w:color w:val="000000"/>
                <w:sz w:val="16"/>
                <w:szCs w:val="16"/>
              </w:rPr>
            </w:pPr>
          </w:p>
        </w:tc>
        <w:tc>
          <w:tcPr>
            <w:tcW w:w="992" w:type="dxa"/>
            <w:tcBorders>
              <w:bottom w:val="single" w:sz="4" w:space="0" w:color="auto"/>
            </w:tcBorders>
            <w:vAlign w:val="center"/>
          </w:tcPr>
          <w:p w14:paraId="488A087B" w14:textId="77777777" w:rsidR="00016024" w:rsidRPr="00016024" w:rsidRDefault="00016024" w:rsidP="002F383F">
            <w:pPr>
              <w:jc w:val="center"/>
              <w:rPr>
                <w:rFonts w:ascii="Book Antiqua" w:hAnsi="Book Antiqua"/>
                <w:color w:val="000000"/>
                <w:sz w:val="16"/>
                <w:szCs w:val="16"/>
              </w:rPr>
            </w:pPr>
          </w:p>
        </w:tc>
        <w:tc>
          <w:tcPr>
            <w:tcW w:w="1134" w:type="dxa"/>
            <w:tcBorders>
              <w:bottom w:val="single" w:sz="4" w:space="0" w:color="auto"/>
            </w:tcBorders>
            <w:vAlign w:val="center"/>
          </w:tcPr>
          <w:p w14:paraId="72744521" w14:textId="77777777" w:rsidR="00016024" w:rsidRPr="00016024" w:rsidRDefault="00016024" w:rsidP="002F383F">
            <w:pPr>
              <w:jc w:val="center"/>
              <w:rPr>
                <w:rFonts w:ascii="Book Antiqua" w:hAnsi="Book Antiqua"/>
                <w:color w:val="000000"/>
                <w:sz w:val="16"/>
                <w:szCs w:val="16"/>
              </w:rPr>
            </w:pPr>
          </w:p>
        </w:tc>
        <w:tc>
          <w:tcPr>
            <w:tcW w:w="1418" w:type="dxa"/>
            <w:tcBorders>
              <w:bottom w:val="single" w:sz="4" w:space="0" w:color="auto"/>
            </w:tcBorders>
            <w:vAlign w:val="center"/>
          </w:tcPr>
          <w:p w14:paraId="718CE9CA" w14:textId="77777777" w:rsidR="00016024" w:rsidRPr="00016024" w:rsidRDefault="00016024" w:rsidP="002F383F">
            <w:pPr>
              <w:jc w:val="center"/>
              <w:rPr>
                <w:rFonts w:ascii="Book Antiqua" w:hAnsi="Book Antiqua"/>
                <w:color w:val="000000"/>
                <w:sz w:val="16"/>
                <w:szCs w:val="16"/>
              </w:rPr>
            </w:pPr>
          </w:p>
        </w:tc>
        <w:tc>
          <w:tcPr>
            <w:tcW w:w="4111" w:type="dxa"/>
            <w:gridSpan w:val="3"/>
            <w:tcBorders>
              <w:bottom w:val="single" w:sz="4" w:space="0" w:color="auto"/>
            </w:tcBorders>
            <w:shd w:val="clear" w:color="auto" w:fill="FFFF00"/>
            <w:vAlign w:val="center"/>
          </w:tcPr>
          <w:p w14:paraId="45F1CC50" w14:textId="77777777" w:rsidR="00016024" w:rsidRPr="00016024" w:rsidRDefault="00016024" w:rsidP="002F383F">
            <w:pPr>
              <w:jc w:val="center"/>
              <w:rPr>
                <w:rFonts w:ascii="Book Antiqua" w:hAnsi="Book Antiqua"/>
                <w:color w:val="000000"/>
                <w:sz w:val="16"/>
                <w:szCs w:val="16"/>
              </w:rPr>
            </w:pPr>
            <w:r w:rsidRPr="00016024">
              <w:rPr>
                <w:rFonts w:ascii="Book Antiqua" w:hAnsi="Book Antiqua"/>
                <w:color w:val="000000"/>
                <w:sz w:val="16"/>
                <w:szCs w:val="16"/>
              </w:rPr>
              <w:t>Percent of 2014 GDP</w:t>
            </w:r>
          </w:p>
        </w:tc>
      </w:tr>
      <w:tr w:rsidR="00016024" w:rsidRPr="00016024" w14:paraId="7BDEB2A6" w14:textId="77777777" w:rsidTr="00A70AB0">
        <w:trPr>
          <w:trHeight w:val="43"/>
        </w:trPr>
        <w:tc>
          <w:tcPr>
            <w:tcW w:w="1135" w:type="dxa"/>
            <w:tcBorders>
              <w:top w:val="single" w:sz="4" w:space="0" w:color="auto"/>
              <w:bottom w:val="nil"/>
            </w:tcBorders>
            <w:vAlign w:val="center"/>
          </w:tcPr>
          <w:p w14:paraId="47C43EB1" w14:textId="77777777" w:rsidR="00016024" w:rsidRPr="00016024" w:rsidRDefault="00016024" w:rsidP="002F383F">
            <w:pPr>
              <w:rPr>
                <w:rFonts w:ascii="Book Antiqua" w:hAnsi="Book Antiqua"/>
                <w:sz w:val="16"/>
                <w:szCs w:val="16"/>
              </w:rPr>
            </w:pPr>
            <w:r w:rsidRPr="00016024">
              <w:rPr>
                <w:rFonts w:ascii="Book Antiqua" w:hAnsi="Book Antiqua"/>
                <w:color w:val="000000"/>
                <w:sz w:val="16"/>
                <w:szCs w:val="16"/>
              </w:rPr>
              <w:t>1 USA</w:t>
            </w:r>
          </w:p>
        </w:tc>
        <w:tc>
          <w:tcPr>
            <w:tcW w:w="1134" w:type="dxa"/>
            <w:tcBorders>
              <w:top w:val="single" w:sz="4" w:space="0" w:color="auto"/>
              <w:bottom w:val="nil"/>
            </w:tcBorders>
            <w:vAlign w:val="center"/>
          </w:tcPr>
          <w:p w14:paraId="4EA5D881" w14:textId="77777777"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36191876</w:t>
            </w:r>
          </w:p>
        </w:tc>
        <w:tc>
          <w:tcPr>
            <w:tcW w:w="992" w:type="dxa"/>
            <w:tcBorders>
              <w:top w:val="single" w:sz="4" w:space="0" w:color="auto"/>
              <w:bottom w:val="nil"/>
            </w:tcBorders>
            <w:vAlign w:val="center"/>
          </w:tcPr>
          <w:p w14:paraId="4B6F9C49" w14:textId="77777777"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17351028</w:t>
            </w:r>
          </w:p>
        </w:tc>
        <w:tc>
          <w:tcPr>
            <w:tcW w:w="1134" w:type="dxa"/>
            <w:tcBorders>
              <w:top w:val="single" w:sz="4" w:space="0" w:color="auto"/>
              <w:bottom w:val="nil"/>
            </w:tcBorders>
            <w:vAlign w:val="center"/>
          </w:tcPr>
          <w:p w14:paraId="13CB8B0B" w14:textId="77777777"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6.9444</w:t>
            </w:r>
          </w:p>
        </w:tc>
        <w:tc>
          <w:tcPr>
            <w:tcW w:w="1418" w:type="dxa"/>
            <w:tcBorders>
              <w:top w:val="single" w:sz="4" w:space="0" w:color="auto"/>
              <w:bottom w:val="nil"/>
            </w:tcBorders>
            <w:vAlign w:val="center"/>
          </w:tcPr>
          <w:p w14:paraId="02A1D567" w14:textId="77777777"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-609165</w:t>
            </w:r>
          </w:p>
        </w:tc>
        <w:tc>
          <w:tcPr>
            <w:tcW w:w="1417" w:type="dxa"/>
            <w:tcBorders>
              <w:top w:val="single" w:sz="4" w:space="0" w:color="auto"/>
              <w:bottom w:val="nil"/>
            </w:tcBorders>
            <w:vAlign w:val="center"/>
          </w:tcPr>
          <w:p w14:paraId="158490EF" w14:textId="77777777"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14.49</w:t>
            </w:r>
          </w:p>
        </w:tc>
        <w:tc>
          <w:tcPr>
            <w:tcW w:w="1134" w:type="dxa"/>
            <w:tcBorders>
              <w:top w:val="single" w:sz="4" w:space="0" w:color="auto"/>
              <w:bottom w:val="nil"/>
            </w:tcBorders>
            <w:vAlign w:val="center"/>
          </w:tcPr>
          <w:p w14:paraId="19B8E35E" w14:textId="77777777"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18.00</w:t>
            </w:r>
          </w:p>
        </w:tc>
        <w:tc>
          <w:tcPr>
            <w:tcW w:w="1560" w:type="dxa"/>
            <w:tcBorders>
              <w:top w:val="single" w:sz="4" w:space="0" w:color="auto"/>
              <w:bottom w:val="nil"/>
            </w:tcBorders>
            <w:vAlign w:val="center"/>
          </w:tcPr>
          <w:p w14:paraId="64F73CA7" w14:textId="77777777"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-3.51</w:t>
            </w:r>
          </w:p>
        </w:tc>
      </w:tr>
      <w:tr w:rsidR="00016024" w:rsidRPr="00016024" w14:paraId="19C33F24" w14:textId="77777777" w:rsidTr="00A70AB0">
        <w:trPr>
          <w:trHeight w:val="43"/>
        </w:trPr>
        <w:tc>
          <w:tcPr>
            <w:tcW w:w="1135" w:type="dxa"/>
            <w:tcBorders>
              <w:top w:val="nil"/>
              <w:bottom w:val="nil"/>
            </w:tcBorders>
            <w:vAlign w:val="center"/>
          </w:tcPr>
          <w:p w14:paraId="29787E4C" w14:textId="77777777" w:rsidR="00016024" w:rsidRPr="00016024" w:rsidRDefault="00016024" w:rsidP="002F383F">
            <w:pPr>
              <w:rPr>
                <w:rFonts w:ascii="Book Antiqua" w:hAnsi="Book Antiqua"/>
                <w:sz w:val="16"/>
                <w:szCs w:val="16"/>
              </w:rPr>
            </w:pPr>
            <w:r w:rsidRPr="00016024">
              <w:rPr>
                <w:rFonts w:ascii="Book Antiqua" w:hAnsi="Book Antiqua"/>
                <w:color w:val="000000"/>
                <w:sz w:val="16"/>
                <w:szCs w:val="16"/>
              </w:rPr>
              <w:t>2 Canada</w:t>
            </w:r>
          </w:p>
        </w:tc>
        <w:tc>
          <w:tcPr>
            <w:tcW w:w="1134" w:type="dxa"/>
            <w:tcBorders>
              <w:top w:val="nil"/>
              <w:bottom w:val="nil"/>
            </w:tcBorders>
            <w:vAlign w:val="center"/>
          </w:tcPr>
          <w:p w14:paraId="0E91E3FB" w14:textId="77777777"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4899983</w:t>
            </w:r>
          </w:p>
        </w:tc>
        <w:tc>
          <w:tcPr>
            <w:tcW w:w="992" w:type="dxa"/>
            <w:tcBorders>
              <w:top w:val="nil"/>
              <w:bottom w:val="nil"/>
            </w:tcBorders>
            <w:vAlign w:val="center"/>
          </w:tcPr>
          <w:p w14:paraId="0DE3DAC5" w14:textId="77777777"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1806968</w:t>
            </w:r>
          </w:p>
        </w:tc>
        <w:tc>
          <w:tcPr>
            <w:tcW w:w="1134" w:type="dxa"/>
            <w:tcBorders>
              <w:top w:val="nil"/>
              <w:bottom w:val="nil"/>
            </w:tcBorders>
            <w:vAlign w:val="center"/>
          </w:tcPr>
          <w:p w14:paraId="794C6F16" w14:textId="77777777"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23.7773</w:t>
            </w:r>
          </w:p>
        </w:tc>
        <w:tc>
          <w:tcPr>
            <w:tcW w:w="1418" w:type="dxa"/>
            <w:tcBorders>
              <w:top w:val="nil"/>
              <w:bottom w:val="nil"/>
            </w:tcBorders>
            <w:vAlign w:val="center"/>
          </w:tcPr>
          <w:p w14:paraId="044E8FB0" w14:textId="77777777"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43698</w:t>
            </w:r>
          </w:p>
        </w:tc>
        <w:tc>
          <w:tcPr>
            <w:tcW w:w="1417" w:type="dxa"/>
            <w:tcBorders>
              <w:top w:val="nil"/>
              <w:bottom w:val="nil"/>
            </w:tcBorders>
            <w:vAlign w:val="center"/>
          </w:tcPr>
          <w:p w14:paraId="54EB0D9B" w14:textId="77777777"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64.48</w:t>
            </w:r>
          </w:p>
        </w:tc>
        <w:tc>
          <w:tcPr>
            <w:tcW w:w="1134" w:type="dxa"/>
            <w:tcBorders>
              <w:top w:val="nil"/>
              <w:bottom w:val="nil"/>
            </w:tcBorders>
            <w:vAlign w:val="center"/>
          </w:tcPr>
          <w:p w14:paraId="5875D5C3" w14:textId="77777777"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62.06</w:t>
            </w:r>
          </w:p>
        </w:tc>
        <w:tc>
          <w:tcPr>
            <w:tcW w:w="1560" w:type="dxa"/>
            <w:tcBorders>
              <w:top w:val="nil"/>
              <w:bottom w:val="nil"/>
            </w:tcBorders>
            <w:vAlign w:val="center"/>
          </w:tcPr>
          <w:p w14:paraId="3B968D9B" w14:textId="77777777"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2.42</w:t>
            </w:r>
          </w:p>
        </w:tc>
      </w:tr>
      <w:tr w:rsidR="00016024" w:rsidRPr="00016024" w14:paraId="565FD0CB" w14:textId="77777777" w:rsidTr="00A70AB0">
        <w:trPr>
          <w:trHeight w:val="44"/>
        </w:trPr>
        <w:tc>
          <w:tcPr>
            <w:tcW w:w="1135" w:type="dxa"/>
            <w:tcBorders>
              <w:top w:val="nil"/>
              <w:bottom w:val="nil"/>
            </w:tcBorders>
            <w:vAlign w:val="center"/>
          </w:tcPr>
          <w:p w14:paraId="7259F4A8" w14:textId="77777777" w:rsidR="00016024" w:rsidRPr="00016024" w:rsidRDefault="00016024" w:rsidP="002F383F">
            <w:pPr>
              <w:rPr>
                <w:rFonts w:ascii="Book Antiqua" w:hAnsi="Book Antiqua"/>
                <w:sz w:val="16"/>
                <w:szCs w:val="16"/>
              </w:rPr>
            </w:pPr>
            <w:r w:rsidRPr="00016024">
              <w:rPr>
                <w:rFonts w:ascii="Book Antiqua" w:hAnsi="Book Antiqua"/>
                <w:color w:val="000000"/>
                <w:sz w:val="16"/>
                <w:szCs w:val="16"/>
              </w:rPr>
              <w:t>3 Mexico</w:t>
            </w:r>
          </w:p>
        </w:tc>
        <w:tc>
          <w:tcPr>
            <w:tcW w:w="1134" w:type="dxa"/>
            <w:tcBorders>
              <w:top w:val="nil"/>
              <w:bottom w:val="nil"/>
            </w:tcBorders>
            <w:vAlign w:val="center"/>
          </w:tcPr>
          <w:p w14:paraId="000BD429" w14:textId="77777777"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4994308</w:t>
            </w:r>
          </w:p>
        </w:tc>
        <w:tc>
          <w:tcPr>
            <w:tcW w:w="992" w:type="dxa"/>
            <w:tcBorders>
              <w:top w:val="nil"/>
              <w:bottom w:val="nil"/>
            </w:tcBorders>
            <w:vAlign w:val="center"/>
          </w:tcPr>
          <w:p w14:paraId="60D6D793" w14:textId="77777777"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1311140</w:t>
            </w:r>
          </w:p>
        </w:tc>
        <w:tc>
          <w:tcPr>
            <w:tcW w:w="1134" w:type="dxa"/>
            <w:tcBorders>
              <w:top w:val="nil"/>
              <w:bottom w:val="nil"/>
            </w:tcBorders>
            <w:vAlign w:val="center"/>
          </w:tcPr>
          <w:p w14:paraId="2D190277" w14:textId="77777777"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16.9358</w:t>
            </w:r>
          </w:p>
        </w:tc>
        <w:tc>
          <w:tcPr>
            <w:tcW w:w="1418" w:type="dxa"/>
            <w:tcBorders>
              <w:top w:val="nil"/>
              <w:bottom w:val="nil"/>
            </w:tcBorders>
            <w:vAlign w:val="center"/>
          </w:tcPr>
          <w:p w14:paraId="33804B19" w14:textId="77777777"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838441</w:t>
            </w:r>
          </w:p>
        </w:tc>
        <w:tc>
          <w:tcPr>
            <w:tcW w:w="1417" w:type="dxa"/>
            <w:tcBorders>
              <w:top w:val="nil"/>
              <w:bottom w:val="nil"/>
            </w:tcBorders>
            <w:vAlign w:val="center"/>
          </w:tcPr>
          <w:p w14:paraId="5BCDDCF1" w14:textId="77777777"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64.51</w:t>
            </w:r>
          </w:p>
        </w:tc>
        <w:tc>
          <w:tcPr>
            <w:tcW w:w="1134" w:type="dxa"/>
            <w:tcBorders>
              <w:top w:val="nil"/>
              <w:bottom w:val="nil"/>
            </w:tcBorders>
            <w:vAlign w:val="center"/>
          </w:tcPr>
          <w:p w14:paraId="03A1E1BF" w14:textId="77777777"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0.56</w:t>
            </w:r>
          </w:p>
        </w:tc>
        <w:tc>
          <w:tcPr>
            <w:tcW w:w="1560" w:type="dxa"/>
            <w:tcBorders>
              <w:top w:val="nil"/>
              <w:bottom w:val="nil"/>
            </w:tcBorders>
            <w:vAlign w:val="center"/>
          </w:tcPr>
          <w:p w14:paraId="745E07D8" w14:textId="77777777"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63.95</w:t>
            </w:r>
          </w:p>
        </w:tc>
      </w:tr>
      <w:tr w:rsidR="00016024" w:rsidRPr="00016024" w14:paraId="7C65459E" w14:textId="77777777" w:rsidTr="00A70AB0">
        <w:trPr>
          <w:trHeight w:val="43"/>
        </w:trPr>
        <w:tc>
          <w:tcPr>
            <w:tcW w:w="1135" w:type="dxa"/>
            <w:tcBorders>
              <w:top w:val="nil"/>
              <w:bottom w:val="nil"/>
            </w:tcBorders>
            <w:vAlign w:val="center"/>
          </w:tcPr>
          <w:p w14:paraId="34D9E82B" w14:textId="77777777" w:rsidR="00016024" w:rsidRPr="00016024" w:rsidRDefault="00016024" w:rsidP="002F383F">
            <w:pPr>
              <w:rPr>
                <w:rFonts w:ascii="Book Antiqua" w:hAnsi="Book Antiqua"/>
                <w:sz w:val="16"/>
                <w:szCs w:val="16"/>
              </w:rPr>
            </w:pPr>
            <w:r w:rsidRPr="00016024">
              <w:rPr>
                <w:rFonts w:ascii="Book Antiqua" w:hAnsi="Book Antiqua"/>
                <w:color w:val="000000"/>
                <w:sz w:val="16"/>
                <w:szCs w:val="16"/>
              </w:rPr>
              <w:t>4 China</w:t>
            </w:r>
          </w:p>
        </w:tc>
        <w:tc>
          <w:tcPr>
            <w:tcW w:w="1134" w:type="dxa"/>
            <w:tcBorders>
              <w:top w:val="nil"/>
              <w:bottom w:val="nil"/>
            </w:tcBorders>
            <w:vAlign w:val="center"/>
          </w:tcPr>
          <w:p w14:paraId="26AC8D18" w14:textId="77777777"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37942864</w:t>
            </w:r>
          </w:p>
        </w:tc>
        <w:tc>
          <w:tcPr>
            <w:tcW w:w="992" w:type="dxa"/>
            <w:tcBorders>
              <w:top w:val="nil"/>
              <w:bottom w:val="nil"/>
            </w:tcBorders>
            <w:vAlign w:val="center"/>
          </w:tcPr>
          <w:p w14:paraId="44AD9288" w14:textId="77777777"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10088053</w:t>
            </w:r>
          </w:p>
        </w:tc>
        <w:tc>
          <w:tcPr>
            <w:tcW w:w="1134" w:type="dxa"/>
            <w:tcBorders>
              <w:top w:val="nil"/>
              <w:bottom w:val="nil"/>
            </w:tcBorders>
            <w:vAlign w:val="center"/>
          </w:tcPr>
          <w:p w14:paraId="51DB49D1" w14:textId="77777777"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58.5599</w:t>
            </w:r>
          </w:p>
        </w:tc>
        <w:tc>
          <w:tcPr>
            <w:tcW w:w="1418" w:type="dxa"/>
            <w:tcBorders>
              <w:top w:val="nil"/>
              <w:bottom w:val="nil"/>
            </w:tcBorders>
            <w:vAlign w:val="center"/>
          </w:tcPr>
          <w:p w14:paraId="64ABABAB" w14:textId="77777777"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2784618</w:t>
            </w:r>
          </w:p>
        </w:tc>
        <w:tc>
          <w:tcPr>
            <w:tcW w:w="1417" w:type="dxa"/>
            <w:tcBorders>
              <w:top w:val="nil"/>
              <w:bottom w:val="nil"/>
            </w:tcBorders>
            <w:vAlign w:val="center"/>
          </w:tcPr>
          <w:p w14:paraId="28E5A9AC" w14:textId="77777777"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220.25</w:t>
            </w:r>
          </w:p>
        </w:tc>
        <w:tc>
          <w:tcPr>
            <w:tcW w:w="1134" w:type="dxa"/>
            <w:tcBorders>
              <w:top w:val="nil"/>
              <w:bottom w:val="nil"/>
            </w:tcBorders>
            <w:vAlign w:val="center"/>
          </w:tcPr>
          <w:p w14:paraId="0DAAEA34" w14:textId="77777777"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192.65</w:t>
            </w:r>
          </w:p>
        </w:tc>
        <w:tc>
          <w:tcPr>
            <w:tcW w:w="1560" w:type="dxa"/>
            <w:tcBorders>
              <w:top w:val="nil"/>
              <w:bottom w:val="nil"/>
            </w:tcBorders>
            <w:vAlign w:val="center"/>
          </w:tcPr>
          <w:p w14:paraId="70E781A3" w14:textId="77777777"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27.60</w:t>
            </w:r>
          </w:p>
        </w:tc>
      </w:tr>
      <w:tr w:rsidR="00016024" w:rsidRPr="00016024" w14:paraId="5215A737" w14:textId="77777777" w:rsidTr="00A70AB0">
        <w:trPr>
          <w:trHeight w:val="208"/>
        </w:trPr>
        <w:tc>
          <w:tcPr>
            <w:tcW w:w="1135" w:type="dxa"/>
            <w:tcBorders>
              <w:top w:val="nil"/>
              <w:bottom w:val="nil"/>
            </w:tcBorders>
            <w:vAlign w:val="center"/>
          </w:tcPr>
          <w:p w14:paraId="542CC4E5" w14:textId="77777777" w:rsidR="00016024" w:rsidRPr="00016024" w:rsidRDefault="00016024" w:rsidP="002F383F">
            <w:pPr>
              <w:rPr>
                <w:rFonts w:ascii="Book Antiqua" w:hAnsi="Book Antiqua"/>
                <w:sz w:val="16"/>
                <w:szCs w:val="16"/>
              </w:rPr>
            </w:pPr>
            <w:r w:rsidRPr="00016024">
              <w:rPr>
                <w:rFonts w:ascii="Book Antiqua" w:hAnsi="Book Antiqua"/>
                <w:color w:val="000000"/>
                <w:sz w:val="16"/>
                <w:szCs w:val="16"/>
              </w:rPr>
              <w:t>5 Japan</w:t>
            </w:r>
          </w:p>
        </w:tc>
        <w:tc>
          <w:tcPr>
            <w:tcW w:w="1134" w:type="dxa"/>
            <w:tcBorders>
              <w:top w:val="nil"/>
              <w:bottom w:val="nil"/>
            </w:tcBorders>
            <w:vAlign w:val="center"/>
          </w:tcPr>
          <w:p w14:paraId="548A60D4" w14:textId="77777777"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18526076</w:t>
            </w:r>
          </w:p>
        </w:tc>
        <w:tc>
          <w:tcPr>
            <w:tcW w:w="992" w:type="dxa"/>
            <w:tcBorders>
              <w:top w:val="nil"/>
              <w:bottom w:val="nil"/>
            </w:tcBorders>
            <w:vAlign w:val="center"/>
          </w:tcPr>
          <w:p w14:paraId="5BB18479" w14:textId="77777777"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4617154</w:t>
            </w:r>
          </w:p>
        </w:tc>
        <w:tc>
          <w:tcPr>
            <w:tcW w:w="1134" w:type="dxa"/>
            <w:tcBorders>
              <w:top w:val="nil"/>
              <w:bottom w:val="nil"/>
            </w:tcBorders>
            <w:vAlign w:val="center"/>
          </w:tcPr>
          <w:p w14:paraId="4433FF88" w14:textId="77777777"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8.2707</w:t>
            </w:r>
          </w:p>
        </w:tc>
        <w:tc>
          <w:tcPr>
            <w:tcW w:w="1418" w:type="dxa"/>
            <w:tcBorders>
              <w:top w:val="nil"/>
              <w:bottom w:val="nil"/>
            </w:tcBorders>
            <w:vAlign w:val="center"/>
          </w:tcPr>
          <w:p w14:paraId="19DEDBA0" w14:textId="77777777"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-1661654</w:t>
            </w:r>
          </w:p>
        </w:tc>
        <w:tc>
          <w:tcPr>
            <w:tcW w:w="1417" w:type="dxa"/>
            <w:tcBorders>
              <w:top w:val="nil"/>
              <w:bottom w:val="nil"/>
            </w:tcBorders>
            <w:vAlign w:val="center"/>
          </w:tcPr>
          <w:p w14:paraId="159C4D16" w14:textId="77777777"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33.19</w:t>
            </w:r>
          </w:p>
        </w:tc>
        <w:tc>
          <w:tcPr>
            <w:tcW w:w="1134" w:type="dxa"/>
            <w:tcBorders>
              <w:top w:val="nil"/>
              <w:bottom w:val="nil"/>
            </w:tcBorders>
            <w:vAlign w:val="center"/>
          </w:tcPr>
          <w:p w14:paraId="2846152B" w14:textId="77777777"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69.17</w:t>
            </w:r>
          </w:p>
        </w:tc>
        <w:tc>
          <w:tcPr>
            <w:tcW w:w="1560" w:type="dxa"/>
            <w:tcBorders>
              <w:top w:val="nil"/>
              <w:bottom w:val="nil"/>
            </w:tcBorders>
            <w:vAlign w:val="center"/>
          </w:tcPr>
          <w:p w14:paraId="23A6D3BC" w14:textId="77777777"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-35.99</w:t>
            </w:r>
          </w:p>
        </w:tc>
      </w:tr>
      <w:tr w:rsidR="00016024" w:rsidRPr="00016024" w14:paraId="02FA60FE" w14:textId="77777777" w:rsidTr="00A70AB0">
        <w:trPr>
          <w:trHeight w:val="43"/>
        </w:trPr>
        <w:tc>
          <w:tcPr>
            <w:tcW w:w="1135" w:type="dxa"/>
            <w:tcBorders>
              <w:top w:val="nil"/>
              <w:bottom w:val="nil"/>
            </w:tcBorders>
            <w:vAlign w:val="center"/>
          </w:tcPr>
          <w:p w14:paraId="23BCD39B" w14:textId="77777777" w:rsidR="00016024" w:rsidRPr="00016024" w:rsidRDefault="00016024" w:rsidP="002F383F">
            <w:pPr>
              <w:rPr>
                <w:rFonts w:ascii="Book Antiqua" w:hAnsi="Book Antiqua"/>
                <w:sz w:val="16"/>
                <w:szCs w:val="16"/>
              </w:rPr>
            </w:pPr>
            <w:r w:rsidRPr="00016024">
              <w:rPr>
                <w:rFonts w:ascii="Book Antiqua" w:hAnsi="Book Antiqua"/>
                <w:color w:val="000000"/>
                <w:sz w:val="16"/>
                <w:szCs w:val="16"/>
              </w:rPr>
              <w:t>6 SKorea</w:t>
            </w:r>
          </w:p>
        </w:tc>
        <w:tc>
          <w:tcPr>
            <w:tcW w:w="1134" w:type="dxa"/>
            <w:tcBorders>
              <w:top w:val="nil"/>
              <w:bottom w:val="nil"/>
            </w:tcBorders>
            <w:vAlign w:val="center"/>
          </w:tcPr>
          <w:p w14:paraId="1E0EA6FF" w14:textId="77777777"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4825363</w:t>
            </w:r>
          </w:p>
        </w:tc>
        <w:tc>
          <w:tcPr>
            <w:tcW w:w="992" w:type="dxa"/>
            <w:tcBorders>
              <w:top w:val="nil"/>
              <w:bottom w:val="nil"/>
            </w:tcBorders>
            <w:vAlign w:val="center"/>
          </w:tcPr>
          <w:p w14:paraId="33293544" w14:textId="77777777"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1373417</w:t>
            </w:r>
          </w:p>
        </w:tc>
        <w:tc>
          <w:tcPr>
            <w:tcW w:w="1134" w:type="dxa"/>
            <w:tcBorders>
              <w:top w:val="nil"/>
              <w:bottom w:val="nil"/>
            </w:tcBorders>
            <w:vAlign w:val="center"/>
          </w:tcPr>
          <w:p w14:paraId="4EED471F" w14:textId="77777777"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35.8061</w:t>
            </w:r>
          </w:p>
        </w:tc>
        <w:tc>
          <w:tcPr>
            <w:tcW w:w="1418" w:type="dxa"/>
            <w:tcBorders>
              <w:top w:val="nil"/>
              <w:bottom w:val="nil"/>
            </w:tcBorders>
            <w:vAlign w:val="center"/>
          </w:tcPr>
          <w:p w14:paraId="7FCE4CCB" w14:textId="77777777"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411739</w:t>
            </w:r>
          </w:p>
        </w:tc>
        <w:tc>
          <w:tcPr>
            <w:tcW w:w="1417" w:type="dxa"/>
            <w:tcBorders>
              <w:top w:val="nil"/>
              <w:bottom w:val="nil"/>
            </w:tcBorders>
            <w:vAlign w:val="center"/>
          </w:tcPr>
          <w:p w14:paraId="28651477" w14:textId="77777777"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125.80</w:t>
            </w:r>
          </w:p>
        </w:tc>
        <w:tc>
          <w:tcPr>
            <w:tcW w:w="1134" w:type="dxa"/>
            <w:tcBorders>
              <w:top w:val="nil"/>
              <w:bottom w:val="nil"/>
            </w:tcBorders>
            <w:vAlign w:val="center"/>
          </w:tcPr>
          <w:p w14:paraId="48CED180" w14:textId="77777777"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95.82</w:t>
            </w:r>
          </w:p>
        </w:tc>
        <w:tc>
          <w:tcPr>
            <w:tcW w:w="1560" w:type="dxa"/>
            <w:tcBorders>
              <w:top w:val="nil"/>
              <w:bottom w:val="nil"/>
            </w:tcBorders>
            <w:vAlign w:val="center"/>
          </w:tcPr>
          <w:p w14:paraId="41480526" w14:textId="77777777"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29.98</w:t>
            </w:r>
          </w:p>
        </w:tc>
      </w:tr>
      <w:tr w:rsidR="00016024" w:rsidRPr="00016024" w14:paraId="13722005" w14:textId="77777777" w:rsidTr="00A70AB0">
        <w:trPr>
          <w:trHeight w:val="200"/>
        </w:trPr>
        <w:tc>
          <w:tcPr>
            <w:tcW w:w="1135" w:type="dxa"/>
            <w:tcBorders>
              <w:top w:val="nil"/>
              <w:bottom w:val="nil"/>
            </w:tcBorders>
            <w:vAlign w:val="center"/>
          </w:tcPr>
          <w:p w14:paraId="5A67B01C" w14:textId="77777777" w:rsidR="00016024" w:rsidRPr="00016024" w:rsidRDefault="00016024" w:rsidP="002F383F">
            <w:pPr>
              <w:rPr>
                <w:rFonts w:ascii="Book Antiqua" w:hAnsi="Book Antiqua"/>
                <w:sz w:val="16"/>
                <w:szCs w:val="16"/>
              </w:rPr>
            </w:pPr>
            <w:r w:rsidRPr="00016024">
              <w:rPr>
                <w:rFonts w:ascii="Book Antiqua" w:hAnsi="Book Antiqua"/>
                <w:color w:val="000000"/>
                <w:sz w:val="16"/>
                <w:szCs w:val="16"/>
              </w:rPr>
              <w:t>7 India</w:t>
            </w:r>
          </w:p>
        </w:tc>
        <w:tc>
          <w:tcPr>
            <w:tcW w:w="1134" w:type="dxa"/>
            <w:tcBorders>
              <w:top w:val="nil"/>
              <w:bottom w:val="nil"/>
            </w:tcBorders>
            <w:vAlign w:val="center"/>
          </w:tcPr>
          <w:p w14:paraId="56DC1916" w14:textId="77777777"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6885754</w:t>
            </w:r>
          </w:p>
        </w:tc>
        <w:tc>
          <w:tcPr>
            <w:tcW w:w="992" w:type="dxa"/>
            <w:tcBorders>
              <w:top w:val="nil"/>
              <w:bottom w:val="nil"/>
            </w:tcBorders>
            <w:vAlign w:val="center"/>
          </w:tcPr>
          <w:p w14:paraId="54BB3596" w14:textId="77777777"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2102008</w:t>
            </w:r>
          </w:p>
        </w:tc>
        <w:tc>
          <w:tcPr>
            <w:tcW w:w="1134" w:type="dxa"/>
            <w:tcBorders>
              <w:top w:val="nil"/>
              <w:bottom w:val="nil"/>
            </w:tcBorders>
            <w:vAlign w:val="center"/>
          </w:tcPr>
          <w:p w14:paraId="2D03981B" w14:textId="77777777"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42.9229</w:t>
            </w:r>
          </w:p>
        </w:tc>
        <w:tc>
          <w:tcPr>
            <w:tcW w:w="1418" w:type="dxa"/>
            <w:tcBorders>
              <w:top w:val="nil"/>
              <w:bottom w:val="nil"/>
            </w:tcBorders>
            <w:vAlign w:val="center"/>
          </w:tcPr>
          <w:p w14:paraId="7DEF0AC3" w14:textId="77777777"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1377254</w:t>
            </w:r>
          </w:p>
        </w:tc>
        <w:tc>
          <w:tcPr>
            <w:tcW w:w="1417" w:type="dxa"/>
            <w:tcBorders>
              <w:top w:val="nil"/>
              <w:bottom w:val="nil"/>
            </w:tcBorders>
            <w:vAlign w:val="center"/>
          </w:tcPr>
          <w:p w14:paraId="567CDB91" w14:textId="77777777"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140.61</w:t>
            </w:r>
          </w:p>
        </w:tc>
        <w:tc>
          <w:tcPr>
            <w:tcW w:w="1134" w:type="dxa"/>
            <w:tcBorders>
              <w:top w:val="nil"/>
              <w:bottom w:val="nil"/>
            </w:tcBorders>
            <w:vAlign w:val="center"/>
          </w:tcPr>
          <w:p w14:paraId="0F0025EA" w14:textId="77777777"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75.09</w:t>
            </w:r>
          </w:p>
        </w:tc>
        <w:tc>
          <w:tcPr>
            <w:tcW w:w="1560" w:type="dxa"/>
            <w:tcBorders>
              <w:top w:val="nil"/>
              <w:bottom w:val="nil"/>
            </w:tcBorders>
            <w:vAlign w:val="center"/>
          </w:tcPr>
          <w:p w14:paraId="13BB4C7D" w14:textId="77777777"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65.52</w:t>
            </w:r>
          </w:p>
        </w:tc>
      </w:tr>
      <w:tr w:rsidR="00016024" w:rsidRPr="00016024" w14:paraId="1064AB96" w14:textId="77777777" w:rsidTr="00A70AB0">
        <w:trPr>
          <w:trHeight w:val="43"/>
        </w:trPr>
        <w:tc>
          <w:tcPr>
            <w:tcW w:w="1135" w:type="dxa"/>
            <w:tcBorders>
              <w:top w:val="nil"/>
              <w:bottom w:val="nil"/>
            </w:tcBorders>
            <w:vAlign w:val="center"/>
          </w:tcPr>
          <w:p w14:paraId="1C4313AB" w14:textId="77777777" w:rsidR="00016024" w:rsidRPr="00016024" w:rsidRDefault="00016024" w:rsidP="002F383F">
            <w:pPr>
              <w:rPr>
                <w:rFonts w:ascii="Book Antiqua" w:hAnsi="Book Antiqua"/>
                <w:sz w:val="16"/>
                <w:szCs w:val="16"/>
              </w:rPr>
            </w:pPr>
            <w:r w:rsidRPr="00016024">
              <w:rPr>
                <w:rFonts w:ascii="Book Antiqua" w:hAnsi="Book Antiqua"/>
                <w:color w:val="000000"/>
                <w:sz w:val="16"/>
                <w:szCs w:val="16"/>
              </w:rPr>
              <w:t>8 France</w:t>
            </w:r>
          </w:p>
        </w:tc>
        <w:tc>
          <w:tcPr>
            <w:tcW w:w="1134" w:type="dxa"/>
            <w:tcBorders>
              <w:top w:val="nil"/>
              <w:bottom w:val="nil"/>
            </w:tcBorders>
            <w:vAlign w:val="center"/>
          </w:tcPr>
          <w:p w14:paraId="54565545" w14:textId="77777777"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7838979</w:t>
            </w:r>
          </w:p>
        </w:tc>
        <w:tc>
          <w:tcPr>
            <w:tcW w:w="992" w:type="dxa"/>
            <w:tcBorders>
              <w:top w:val="nil"/>
              <w:bottom w:val="nil"/>
            </w:tcBorders>
            <w:vAlign w:val="center"/>
          </w:tcPr>
          <w:p w14:paraId="0F122338" w14:textId="77777777"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2840710</w:t>
            </w:r>
          </w:p>
        </w:tc>
        <w:tc>
          <w:tcPr>
            <w:tcW w:w="1134" w:type="dxa"/>
            <w:tcBorders>
              <w:top w:val="nil"/>
              <w:bottom w:val="nil"/>
            </w:tcBorders>
            <w:vAlign w:val="center"/>
          </w:tcPr>
          <w:p w14:paraId="45DDC514" w14:textId="77777777"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10.7915</w:t>
            </w:r>
          </w:p>
        </w:tc>
        <w:tc>
          <w:tcPr>
            <w:tcW w:w="1418" w:type="dxa"/>
            <w:tcBorders>
              <w:top w:val="nil"/>
              <w:bottom w:val="nil"/>
            </w:tcBorders>
            <w:vAlign w:val="center"/>
          </w:tcPr>
          <w:p w14:paraId="67DE70C5" w14:textId="77777777"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-124218</w:t>
            </w:r>
          </w:p>
        </w:tc>
        <w:tc>
          <w:tcPr>
            <w:tcW w:w="1417" w:type="dxa"/>
            <w:tcBorders>
              <w:top w:val="nil"/>
              <w:bottom w:val="nil"/>
            </w:tcBorders>
            <w:vAlign w:val="center"/>
          </w:tcPr>
          <w:p w14:paraId="5B9933F8" w14:textId="77777777"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29.78</w:t>
            </w:r>
          </w:p>
        </w:tc>
        <w:tc>
          <w:tcPr>
            <w:tcW w:w="1134" w:type="dxa"/>
            <w:tcBorders>
              <w:top w:val="nil"/>
              <w:bottom w:val="nil"/>
            </w:tcBorders>
            <w:vAlign w:val="center"/>
          </w:tcPr>
          <w:p w14:paraId="1F6B9B58" w14:textId="77777777"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34.15</w:t>
            </w:r>
          </w:p>
        </w:tc>
        <w:tc>
          <w:tcPr>
            <w:tcW w:w="1560" w:type="dxa"/>
            <w:tcBorders>
              <w:top w:val="nil"/>
              <w:bottom w:val="nil"/>
            </w:tcBorders>
            <w:vAlign w:val="center"/>
          </w:tcPr>
          <w:p w14:paraId="7E33482C" w14:textId="77777777"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-4.37</w:t>
            </w:r>
          </w:p>
        </w:tc>
      </w:tr>
      <w:tr w:rsidR="00016024" w:rsidRPr="00016024" w14:paraId="6EEB5F3D" w14:textId="77777777" w:rsidTr="00A70AB0">
        <w:trPr>
          <w:trHeight w:val="48"/>
        </w:trPr>
        <w:tc>
          <w:tcPr>
            <w:tcW w:w="1135" w:type="dxa"/>
            <w:tcBorders>
              <w:top w:val="nil"/>
              <w:bottom w:val="nil"/>
            </w:tcBorders>
            <w:vAlign w:val="center"/>
          </w:tcPr>
          <w:p w14:paraId="011746AE" w14:textId="77777777" w:rsidR="00016024" w:rsidRPr="00016024" w:rsidRDefault="00016024" w:rsidP="002F383F">
            <w:pPr>
              <w:rPr>
                <w:rFonts w:ascii="Book Antiqua" w:hAnsi="Book Antiqua"/>
                <w:sz w:val="16"/>
                <w:szCs w:val="16"/>
              </w:rPr>
            </w:pPr>
            <w:r w:rsidRPr="00016024">
              <w:rPr>
                <w:rFonts w:ascii="Book Antiqua" w:hAnsi="Book Antiqua"/>
                <w:color w:val="000000"/>
                <w:sz w:val="16"/>
                <w:szCs w:val="16"/>
              </w:rPr>
              <w:t>9 Germany</w:t>
            </w:r>
          </w:p>
        </w:tc>
        <w:tc>
          <w:tcPr>
            <w:tcW w:w="1134" w:type="dxa"/>
            <w:tcBorders>
              <w:top w:val="nil"/>
              <w:bottom w:val="nil"/>
            </w:tcBorders>
            <w:vAlign w:val="center"/>
          </w:tcPr>
          <w:p w14:paraId="74FF22A0" w14:textId="77777777"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14408984</w:t>
            </w:r>
          </w:p>
        </w:tc>
        <w:tc>
          <w:tcPr>
            <w:tcW w:w="992" w:type="dxa"/>
            <w:tcBorders>
              <w:top w:val="nil"/>
              <w:bottom w:val="nil"/>
            </w:tcBorders>
            <w:vAlign w:val="center"/>
          </w:tcPr>
          <w:p w14:paraId="7AE054C6" w14:textId="77777777"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3883100</w:t>
            </w:r>
          </w:p>
        </w:tc>
        <w:tc>
          <w:tcPr>
            <w:tcW w:w="1134" w:type="dxa"/>
            <w:tcBorders>
              <w:top w:val="nil"/>
              <w:bottom w:val="nil"/>
            </w:tcBorders>
            <w:vAlign w:val="center"/>
          </w:tcPr>
          <w:p w14:paraId="0B213707" w14:textId="77777777"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19.1700</w:t>
            </w:r>
          </w:p>
        </w:tc>
        <w:tc>
          <w:tcPr>
            <w:tcW w:w="1418" w:type="dxa"/>
            <w:tcBorders>
              <w:top w:val="nil"/>
              <w:bottom w:val="nil"/>
            </w:tcBorders>
            <w:vAlign w:val="center"/>
          </w:tcPr>
          <w:p w14:paraId="1448CE34" w14:textId="77777777"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-31414</w:t>
            </w:r>
          </w:p>
        </w:tc>
        <w:tc>
          <w:tcPr>
            <w:tcW w:w="1417" w:type="dxa"/>
            <w:tcBorders>
              <w:top w:val="nil"/>
              <w:bottom w:val="nil"/>
            </w:tcBorders>
            <w:vAlign w:val="center"/>
          </w:tcPr>
          <w:p w14:paraId="481B5F61" w14:textId="77777777"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71.13</w:t>
            </w:r>
          </w:p>
        </w:tc>
        <w:tc>
          <w:tcPr>
            <w:tcW w:w="1134" w:type="dxa"/>
            <w:tcBorders>
              <w:top w:val="nil"/>
              <w:bottom w:val="nil"/>
            </w:tcBorders>
            <w:vAlign w:val="center"/>
          </w:tcPr>
          <w:p w14:paraId="5D26F8CF" w14:textId="77777777"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71.94</w:t>
            </w:r>
          </w:p>
        </w:tc>
        <w:tc>
          <w:tcPr>
            <w:tcW w:w="1560" w:type="dxa"/>
            <w:tcBorders>
              <w:top w:val="nil"/>
              <w:bottom w:val="nil"/>
            </w:tcBorders>
            <w:vAlign w:val="center"/>
          </w:tcPr>
          <w:p w14:paraId="3B23FE9B" w14:textId="77777777"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-0.81</w:t>
            </w:r>
          </w:p>
        </w:tc>
      </w:tr>
      <w:tr w:rsidR="00016024" w:rsidRPr="00016024" w14:paraId="34001938" w14:textId="77777777" w:rsidTr="00A70AB0">
        <w:trPr>
          <w:trHeight w:val="200"/>
        </w:trPr>
        <w:tc>
          <w:tcPr>
            <w:tcW w:w="1135" w:type="dxa"/>
            <w:tcBorders>
              <w:top w:val="nil"/>
              <w:bottom w:val="nil"/>
            </w:tcBorders>
            <w:vAlign w:val="center"/>
          </w:tcPr>
          <w:p w14:paraId="56B1ACAE" w14:textId="77777777" w:rsidR="00016024" w:rsidRPr="00016024" w:rsidRDefault="00016024" w:rsidP="002F383F">
            <w:pPr>
              <w:rPr>
                <w:rFonts w:ascii="Book Antiqua" w:hAnsi="Book Antiqua"/>
                <w:sz w:val="16"/>
                <w:szCs w:val="16"/>
              </w:rPr>
            </w:pPr>
            <w:r w:rsidRPr="00016024">
              <w:rPr>
                <w:rFonts w:ascii="Book Antiqua" w:hAnsi="Book Antiqua"/>
                <w:color w:val="000000"/>
                <w:sz w:val="16"/>
                <w:szCs w:val="16"/>
              </w:rPr>
              <w:t>10 UK</w:t>
            </w:r>
          </w:p>
        </w:tc>
        <w:tc>
          <w:tcPr>
            <w:tcW w:w="1134" w:type="dxa"/>
            <w:tcBorders>
              <w:top w:val="nil"/>
              <w:bottom w:val="nil"/>
            </w:tcBorders>
            <w:vAlign w:val="center"/>
          </w:tcPr>
          <w:p w14:paraId="793A836C" w14:textId="77777777"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8769711</w:t>
            </w:r>
          </w:p>
        </w:tc>
        <w:tc>
          <w:tcPr>
            <w:tcW w:w="992" w:type="dxa"/>
            <w:tcBorders>
              <w:top w:val="nil"/>
              <w:bottom w:val="nil"/>
            </w:tcBorders>
            <w:vAlign w:val="center"/>
          </w:tcPr>
          <w:p w14:paraId="54D0BBDF" w14:textId="77777777"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3004112</w:t>
            </w:r>
          </w:p>
        </w:tc>
        <w:tc>
          <w:tcPr>
            <w:tcW w:w="1134" w:type="dxa"/>
            <w:tcBorders>
              <w:top w:val="nil"/>
              <w:bottom w:val="nil"/>
            </w:tcBorders>
            <w:vAlign w:val="center"/>
          </w:tcPr>
          <w:p w14:paraId="66C43ABE" w14:textId="77777777"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17.8828</w:t>
            </w:r>
          </w:p>
        </w:tc>
        <w:tc>
          <w:tcPr>
            <w:tcW w:w="1418" w:type="dxa"/>
            <w:tcBorders>
              <w:top w:val="nil"/>
              <w:bottom w:val="nil"/>
            </w:tcBorders>
            <w:vAlign w:val="center"/>
          </w:tcPr>
          <w:p w14:paraId="110E77F9" w14:textId="77777777"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1496997</w:t>
            </w:r>
          </w:p>
        </w:tc>
        <w:tc>
          <w:tcPr>
            <w:tcW w:w="1417" w:type="dxa"/>
            <w:tcBorders>
              <w:top w:val="nil"/>
              <w:bottom w:val="nil"/>
            </w:tcBorders>
            <w:vAlign w:val="center"/>
          </w:tcPr>
          <w:p w14:paraId="731D42FA" w14:textId="77777777"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52.20</w:t>
            </w:r>
          </w:p>
        </w:tc>
        <w:tc>
          <w:tcPr>
            <w:tcW w:w="1134" w:type="dxa"/>
            <w:tcBorders>
              <w:top w:val="nil"/>
              <w:bottom w:val="nil"/>
            </w:tcBorders>
            <w:vAlign w:val="center"/>
          </w:tcPr>
          <w:p w14:paraId="449F6183" w14:textId="77777777"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2.37</w:t>
            </w:r>
          </w:p>
        </w:tc>
        <w:tc>
          <w:tcPr>
            <w:tcW w:w="1560" w:type="dxa"/>
            <w:tcBorders>
              <w:top w:val="nil"/>
              <w:bottom w:val="nil"/>
            </w:tcBorders>
            <w:vAlign w:val="center"/>
          </w:tcPr>
          <w:p w14:paraId="316CBFA0" w14:textId="77777777"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49.83</w:t>
            </w:r>
          </w:p>
        </w:tc>
      </w:tr>
      <w:tr w:rsidR="00016024" w:rsidRPr="00016024" w14:paraId="6CC560B5" w14:textId="77777777" w:rsidTr="00A70AB0">
        <w:trPr>
          <w:trHeight w:val="196"/>
        </w:trPr>
        <w:tc>
          <w:tcPr>
            <w:tcW w:w="1135" w:type="dxa"/>
            <w:tcBorders>
              <w:top w:val="nil"/>
              <w:bottom w:val="nil"/>
            </w:tcBorders>
            <w:vAlign w:val="center"/>
          </w:tcPr>
          <w:p w14:paraId="02D446C0" w14:textId="77777777" w:rsidR="00016024" w:rsidRPr="00016024" w:rsidRDefault="00016024" w:rsidP="002F383F">
            <w:pPr>
              <w:rPr>
                <w:rFonts w:ascii="Book Antiqua" w:hAnsi="Book Antiqua"/>
                <w:sz w:val="16"/>
                <w:szCs w:val="16"/>
              </w:rPr>
            </w:pPr>
            <w:r w:rsidRPr="00016024">
              <w:rPr>
                <w:rFonts w:ascii="Book Antiqua" w:hAnsi="Book Antiqua"/>
                <w:color w:val="000000"/>
                <w:sz w:val="16"/>
                <w:szCs w:val="16"/>
              </w:rPr>
              <w:t>11 RoEU</w:t>
            </w:r>
          </w:p>
        </w:tc>
        <w:tc>
          <w:tcPr>
            <w:tcW w:w="1134" w:type="dxa"/>
            <w:tcBorders>
              <w:top w:val="nil"/>
              <w:bottom w:val="nil"/>
            </w:tcBorders>
            <w:vAlign w:val="center"/>
          </w:tcPr>
          <w:p w14:paraId="24AAD937" w14:textId="77777777"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31538972</w:t>
            </w:r>
          </w:p>
        </w:tc>
        <w:tc>
          <w:tcPr>
            <w:tcW w:w="992" w:type="dxa"/>
            <w:tcBorders>
              <w:top w:val="nil"/>
              <w:bottom w:val="nil"/>
            </w:tcBorders>
            <w:vAlign w:val="center"/>
          </w:tcPr>
          <w:p w14:paraId="495BE5EE" w14:textId="77777777"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8867711</w:t>
            </w:r>
          </w:p>
        </w:tc>
        <w:tc>
          <w:tcPr>
            <w:tcW w:w="1134" w:type="dxa"/>
            <w:tcBorders>
              <w:top w:val="nil"/>
              <w:bottom w:val="nil"/>
            </w:tcBorders>
            <w:vAlign w:val="center"/>
          </w:tcPr>
          <w:p w14:paraId="6590A8DC" w14:textId="77777777"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16.4097</w:t>
            </w:r>
          </w:p>
        </w:tc>
        <w:tc>
          <w:tcPr>
            <w:tcW w:w="1418" w:type="dxa"/>
            <w:tcBorders>
              <w:top w:val="nil"/>
              <w:bottom w:val="nil"/>
            </w:tcBorders>
            <w:vAlign w:val="center"/>
          </w:tcPr>
          <w:p w14:paraId="79AAF21C" w14:textId="77777777"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2159729</w:t>
            </w:r>
          </w:p>
        </w:tc>
        <w:tc>
          <w:tcPr>
            <w:tcW w:w="1417" w:type="dxa"/>
            <w:tcBorders>
              <w:top w:val="nil"/>
              <w:bottom w:val="nil"/>
            </w:tcBorders>
            <w:vAlign w:val="center"/>
          </w:tcPr>
          <w:p w14:paraId="2E17157B" w14:textId="77777777"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58.36</w:t>
            </w:r>
          </w:p>
        </w:tc>
        <w:tc>
          <w:tcPr>
            <w:tcW w:w="1134" w:type="dxa"/>
            <w:tcBorders>
              <w:top w:val="nil"/>
              <w:bottom w:val="nil"/>
            </w:tcBorders>
            <w:vAlign w:val="center"/>
          </w:tcPr>
          <w:p w14:paraId="469FEC85" w14:textId="77777777"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34.01</w:t>
            </w:r>
          </w:p>
        </w:tc>
        <w:tc>
          <w:tcPr>
            <w:tcW w:w="1560" w:type="dxa"/>
            <w:tcBorders>
              <w:top w:val="nil"/>
              <w:bottom w:val="nil"/>
            </w:tcBorders>
            <w:vAlign w:val="center"/>
          </w:tcPr>
          <w:p w14:paraId="0041862F" w14:textId="77777777"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24.35</w:t>
            </w:r>
          </w:p>
        </w:tc>
      </w:tr>
      <w:tr w:rsidR="00016024" w:rsidRPr="00016024" w14:paraId="20F82BAC" w14:textId="77777777" w:rsidTr="00A70AB0">
        <w:trPr>
          <w:trHeight w:val="43"/>
        </w:trPr>
        <w:tc>
          <w:tcPr>
            <w:tcW w:w="1135" w:type="dxa"/>
            <w:tcBorders>
              <w:top w:val="nil"/>
              <w:bottom w:val="nil"/>
            </w:tcBorders>
            <w:vAlign w:val="center"/>
          </w:tcPr>
          <w:p w14:paraId="6B1C0354" w14:textId="77777777" w:rsidR="00016024" w:rsidRPr="00016024" w:rsidRDefault="00016024" w:rsidP="002F383F">
            <w:pPr>
              <w:rPr>
                <w:rFonts w:ascii="Book Antiqua" w:hAnsi="Book Antiqua"/>
                <w:sz w:val="16"/>
                <w:szCs w:val="16"/>
              </w:rPr>
            </w:pPr>
            <w:r w:rsidRPr="00016024">
              <w:rPr>
                <w:rFonts w:ascii="Book Antiqua" w:hAnsi="Book Antiqua"/>
                <w:color w:val="000000"/>
                <w:sz w:val="16"/>
                <w:szCs w:val="16"/>
              </w:rPr>
              <w:t>12 SaudiAr</w:t>
            </w:r>
          </w:p>
        </w:tc>
        <w:tc>
          <w:tcPr>
            <w:tcW w:w="1134" w:type="dxa"/>
            <w:tcBorders>
              <w:top w:val="nil"/>
              <w:bottom w:val="nil"/>
            </w:tcBorders>
            <w:vAlign w:val="center"/>
          </w:tcPr>
          <w:p w14:paraId="2CB8943E" w14:textId="77777777"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3125447</w:t>
            </w:r>
          </w:p>
        </w:tc>
        <w:tc>
          <w:tcPr>
            <w:tcW w:w="992" w:type="dxa"/>
            <w:tcBorders>
              <w:top w:val="nil"/>
              <w:bottom w:val="nil"/>
            </w:tcBorders>
            <w:vAlign w:val="center"/>
          </w:tcPr>
          <w:p w14:paraId="401BE990" w14:textId="77777777"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746666.6</w:t>
            </w:r>
          </w:p>
        </w:tc>
        <w:tc>
          <w:tcPr>
            <w:tcW w:w="1134" w:type="dxa"/>
            <w:tcBorders>
              <w:top w:val="nil"/>
              <w:bottom w:val="nil"/>
            </w:tcBorders>
            <w:vAlign w:val="center"/>
          </w:tcPr>
          <w:p w14:paraId="09DC0764" w14:textId="77777777"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27.5963</w:t>
            </w:r>
          </w:p>
        </w:tc>
        <w:tc>
          <w:tcPr>
            <w:tcW w:w="1418" w:type="dxa"/>
            <w:tcBorders>
              <w:top w:val="nil"/>
              <w:bottom w:val="nil"/>
            </w:tcBorders>
            <w:vAlign w:val="center"/>
          </w:tcPr>
          <w:p w14:paraId="59144525" w14:textId="77777777"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-358349</w:t>
            </w:r>
          </w:p>
        </w:tc>
        <w:tc>
          <w:tcPr>
            <w:tcW w:w="1417" w:type="dxa"/>
            <w:tcBorders>
              <w:top w:val="nil"/>
              <w:bottom w:val="nil"/>
            </w:tcBorders>
            <w:vAlign w:val="center"/>
          </w:tcPr>
          <w:p w14:paraId="79AD70A8" w14:textId="77777777"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115.51</w:t>
            </w:r>
          </w:p>
        </w:tc>
        <w:tc>
          <w:tcPr>
            <w:tcW w:w="1134" w:type="dxa"/>
            <w:tcBorders>
              <w:top w:val="nil"/>
              <w:bottom w:val="nil"/>
            </w:tcBorders>
            <w:vAlign w:val="center"/>
          </w:tcPr>
          <w:p w14:paraId="0DC7E388" w14:textId="77777777"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163.51</w:t>
            </w:r>
          </w:p>
        </w:tc>
        <w:tc>
          <w:tcPr>
            <w:tcW w:w="1560" w:type="dxa"/>
            <w:tcBorders>
              <w:top w:val="nil"/>
              <w:bottom w:val="nil"/>
            </w:tcBorders>
            <w:vAlign w:val="center"/>
          </w:tcPr>
          <w:p w14:paraId="48708DAE" w14:textId="77777777"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-47.99</w:t>
            </w:r>
          </w:p>
        </w:tc>
      </w:tr>
      <w:tr w:rsidR="00016024" w:rsidRPr="00016024" w14:paraId="309488AE" w14:textId="77777777" w:rsidTr="00A70AB0">
        <w:trPr>
          <w:trHeight w:val="43"/>
        </w:trPr>
        <w:tc>
          <w:tcPr>
            <w:tcW w:w="1135" w:type="dxa"/>
            <w:tcBorders>
              <w:top w:val="nil"/>
              <w:bottom w:val="single" w:sz="4" w:space="0" w:color="auto"/>
            </w:tcBorders>
            <w:vAlign w:val="center"/>
          </w:tcPr>
          <w:p w14:paraId="6BB028B1" w14:textId="77777777" w:rsidR="00016024" w:rsidRPr="00016024" w:rsidRDefault="00016024" w:rsidP="002F383F">
            <w:pPr>
              <w:rPr>
                <w:rFonts w:ascii="Book Antiqua" w:hAnsi="Book Antiqua"/>
                <w:sz w:val="16"/>
                <w:szCs w:val="16"/>
              </w:rPr>
            </w:pPr>
            <w:r w:rsidRPr="00016024">
              <w:rPr>
                <w:rFonts w:ascii="Book Antiqua" w:hAnsi="Book Antiqua"/>
                <w:color w:val="000000"/>
                <w:sz w:val="16"/>
                <w:szCs w:val="16"/>
              </w:rPr>
              <w:t>13 RoW</w:t>
            </w:r>
          </w:p>
        </w:tc>
        <w:tc>
          <w:tcPr>
            <w:tcW w:w="1134" w:type="dxa"/>
            <w:tcBorders>
              <w:top w:val="nil"/>
              <w:bottom w:val="single" w:sz="4" w:space="0" w:color="auto"/>
            </w:tcBorders>
            <w:vAlign w:val="center"/>
          </w:tcPr>
          <w:p w14:paraId="60160BE1" w14:textId="77777777"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69288592</w:t>
            </w:r>
          </w:p>
        </w:tc>
        <w:tc>
          <w:tcPr>
            <w:tcW w:w="992" w:type="dxa"/>
            <w:tcBorders>
              <w:top w:val="nil"/>
              <w:bottom w:val="single" w:sz="4" w:space="0" w:color="auto"/>
            </w:tcBorders>
            <w:vAlign w:val="center"/>
          </w:tcPr>
          <w:p w14:paraId="48D2A110" w14:textId="77777777"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20089670</w:t>
            </w:r>
          </w:p>
        </w:tc>
        <w:tc>
          <w:tcPr>
            <w:tcW w:w="1134" w:type="dxa"/>
            <w:tcBorders>
              <w:top w:val="nil"/>
              <w:bottom w:val="single" w:sz="4" w:space="0" w:color="auto"/>
            </w:tcBorders>
            <w:vAlign w:val="center"/>
          </w:tcPr>
          <w:p w14:paraId="5379B2FC" w14:textId="77777777"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18.7043</w:t>
            </w:r>
          </w:p>
        </w:tc>
        <w:tc>
          <w:tcPr>
            <w:tcW w:w="1418" w:type="dxa"/>
            <w:tcBorders>
              <w:top w:val="nil"/>
              <w:bottom w:val="single" w:sz="4" w:space="0" w:color="auto"/>
            </w:tcBorders>
            <w:vAlign w:val="center"/>
          </w:tcPr>
          <w:p w14:paraId="7ED45505" w14:textId="77777777"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0</w:t>
            </w:r>
          </w:p>
        </w:tc>
        <w:tc>
          <w:tcPr>
            <w:tcW w:w="1417" w:type="dxa"/>
            <w:tcBorders>
              <w:top w:val="nil"/>
              <w:bottom w:val="single" w:sz="4" w:space="0" w:color="auto"/>
            </w:tcBorders>
            <w:vAlign w:val="center"/>
          </w:tcPr>
          <w:p w14:paraId="32CE9B1A" w14:textId="77777777"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64.51</w:t>
            </w:r>
          </w:p>
        </w:tc>
        <w:tc>
          <w:tcPr>
            <w:tcW w:w="1134" w:type="dxa"/>
            <w:tcBorders>
              <w:top w:val="nil"/>
              <w:bottom w:val="single" w:sz="4" w:space="0" w:color="auto"/>
            </w:tcBorders>
            <w:vAlign w:val="center"/>
          </w:tcPr>
          <w:p w14:paraId="3B20F8B5" w14:textId="77777777"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64.51</w:t>
            </w:r>
          </w:p>
        </w:tc>
        <w:tc>
          <w:tcPr>
            <w:tcW w:w="1560" w:type="dxa"/>
            <w:tcBorders>
              <w:top w:val="nil"/>
              <w:bottom w:val="single" w:sz="4" w:space="0" w:color="auto"/>
            </w:tcBorders>
            <w:vAlign w:val="center"/>
          </w:tcPr>
          <w:p w14:paraId="7AF1FD6F" w14:textId="77777777" w:rsidR="00016024" w:rsidRPr="00016024" w:rsidRDefault="00016024" w:rsidP="002F383F">
            <w:pPr>
              <w:jc w:val="center"/>
              <w:rPr>
                <w:rFonts w:ascii="Book Antiqua" w:hAnsi="Book Antiqua"/>
                <w:sz w:val="16"/>
                <w:szCs w:val="16"/>
              </w:rPr>
            </w:pPr>
            <w:r w:rsidRPr="00016024">
              <w:rPr>
                <w:rFonts w:ascii="Book Antiqua" w:hAnsi="Book Antiqua"/>
                <w:color w:val="000000"/>
                <w:sz w:val="16"/>
                <w:szCs w:val="16"/>
              </w:rPr>
              <w:t>0.00</w:t>
            </w:r>
          </w:p>
        </w:tc>
      </w:tr>
    </w:tbl>
    <w:p w14:paraId="0D05EE35" w14:textId="77777777" w:rsidR="00016024" w:rsidRDefault="00016024" w:rsidP="008A76C7">
      <w:pPr>
        <w:pStyle w:val="NotesandSourcesText"/>
        <w:rPr>
          <w:rStyle w:val="NotesandSourcesItalicChar"/>
        </w:rPr>
      </w:pPr>
    </w:p>
    <w:p w14:paraId="74467005" w14:textId="77777777" w:rsidR="00153E3C" w:rsidRPr="00A06823" w:rsidRDefault="00153E3C" w:rsidP="00A06823">
      <w:pPr>
        <w:pStyle w:val="FirstLevelHeading"/>
      </w:pPr>
      <w:r w:rsidRPr="00A06823">
        <w:t>Tables of simulation results in section 6</w:t>
      </w:r>
    </w:p>
    <w:p w14:paraId="56B5341D" w14:textId="28F53F14" w:rsidR="00153E3C" w:rsidRDefault="00153E3C" w:rsidP="00A06823">
      <w:pPr>
        <w:pStyle w:val="ParagraphText"/>
      </w:pPr>
      <w:r w:rsidRPr="00C642D9">
        <w:t xml:space="preserve">Tables </w:t>
      </w:r>
      <w:r>
        <w:t>(</w:t>
      </w:r>
      <w:r w:rsidR="007153DC">
        <w:t>10</w:t>
      </w:r>
      <w:r>
        <w:t xml:space="preserve">) </w:t>
      </w:r>
      <w:r>
        <w:t>to (</w:t>
      </w:r>
      <w:r w:rsidR="007153DC">
        <w:t>12</w:t>
      </w:r>
      <w:r>
        <w:t xml:space="preserve">) show percentage changes in macro variables for each of the 13 countries for each of the time periods 2014-19, 2019-30, 2030-40 and 2040-50.  To make the numbers directly comparable for periods of different length they are presented in average-annual format.  For example, Table </w:t>
      </w:r>
      <w:r w:rsidR="007920D5">
        <w:t>4</w:t>
      </w:r>
      <w:r>
        <w:t xml:space="preserve"> shows that the percentage change in real GDP in the USA between 2014 and 2019 was 12.58.  In average-annual terms this is: </w:t>
      </w:r>
      <m:oMath>
        <m:r>
          <w:rPr>
            <w:rFonts w:ascii="Cambria Math" w:hAnsi="Cambria Math"/>
          </w:rPr>
          <m:t>2.40=100*</m:t>
        </m:r>
        <m:d>
          <m:dPr>
            <m:begChr m:val="["/>
            <m:endChr m:val="]"/>
            <m:ctrlPr>
              <w:rPr>
                <w:rFonts w:ascii="Cambria Math" w:hAnsi="Cambria Math"/>
                <w:i/>
              </w:rPr>
            </m:ctrlPr>
          </m:dPr>
          <m:e>
            <m:r>
              <w:rPr>
                <w:rFonts w:ascii="Cambria Math" w:hAnsi="Cambria Math"/>
              </w:rPr>
              <m:t>(1+12.58/100</m:t>
            </m:r>
            <m:sSup>
              <m:sSupPr>
                <m:ctrlPr>
                  <w:rPr>
                    <w:rFonts w:ascii="Cambria Math" w:hAnsi="Cambria Math"/>
                    <w:i/>
                  </w:rPr>
                </m:ctrlPr>
              </m:sSupPr>
              <m:e>
                <m:r>
                  <w:rPr>
                    <w:rFonts w:ascii="Cambria Math" w:hAnsi="Cambria Math"/>
                  </w:rPr>
                  <m:t>)</m:t>
                </m:r>
              </m:e>
              <m:sup>
                <m:r>
                  <w:rPr>
                    <w:rFonts w:ascii="Cambria Math" w:hAnsi="Cambria Math"/>
                  </w:rPr>
                  <m:t>(1/5)</m:t>
                </m:r>
              </m:sup>
            </m:sSup>
            <m:r>
              <w:rPr>
                <w:rFonts w:ascii="Cambria Math" w:hAnsi="Cambria Math"/>
              </w:rPr>
              <m:t>-1</m:t>
            </m:r>
          </m:e>
        </m:d>
      </m:oMath>
      <w:r>
        <w:t xml:space="preserve">  where 5 is the length of the period 2014-19</w:t>
      </w:r>
      <w:r w:rsidR="00A61CB5">
        <w:t>.</w:t>
      </w:r>
    </w:p>
    <w:p w14:paraId="009D164E" w14:textId="6381B9B5" w:rsidR="00153E3C" w:rsidRDefault="00153E3C" w:rsidP="00D304A5">
      <w:pPr>
        <w:pStyle w:val="ParagraphText"/>
      </w:pPr>
      <w:r w:rsidRPr="00830C65">
        <w:rPr>
          <w:b/>
          <w:bCs/>
        </w:rPr>
        <w:t xml:space="preserve">Table </w:t>
      </w:r>
      <w:r w:rsidR="001F2BCA">
        <w:rPr>
          <w:b/>
          <w:bCs/>
        </w:rPr>
        <w:t>10</w:t>
      </w:r>
      <w:r>
        <w:t xml:space="preserve"> pre</w:t>
      </w:r>
      <w:r w:rsidRPr="00830C65">
        <w:t xml:space="preserve">sents </w:t>
      </w:r>
      <w:r>
        <w:t xml:space="preserve">average annual </w:t>
      </w:r>
      <w:r w:rsidRPr="00830C65">
        <w:t xml:space="preserve">results </w:t>
      </w:r>
      <w:r>
        <w:t xml:space="preserve">for each of the 4 simulation periods </w:t>
      </w:r>
      <w:r w:rsidRPr="00830C65">
        <w:t xml:space="preserve">for Real </w:t>
      </w:r>
      <w:r>
        <w:t>GDP (</w:t>
      </w:r>
      <w:r w:rsidRPr="00C469A8">
        <w:rPr>
          <w:i/>
          <w:iCs/>
        </w:rPr>
        <w:t>qgdp</w:t>
      </w:r>
      <w:r>
        <w:t>), Capital (</w:t>
      </w:r>
      <w:r w:rsidRPr="00C469A8">
        <w:rPr>
          <w:i/>
          <w:iCs/>
        </w:rPr>
        <w:t>kb</w:t>
      </w:r>
      <w:r>
        <w:t>), Employment (</w:t>
      </w:r>
      <w:r w:rsidRPr="00C469A8">
        <w:rPr>
          <w:i/>
          <w:iCs/>
        </w:rPr>
        <w:t>lsreg</w:t>
      </w:r>
      <w:r>
        <w:t>), Population (</w:t>
      </w:r>
      <w:r w:rsidRPr="00C469A8">
        <w:rPr>
          <w:i/>
          <w:iCs/>
        </w:rPr>
        <w:t>pop</w:t>
      </w:r>
      <w:r>
        <w:t>). Technology contribution to GDP (</w:t>
      </w:r>
      <w:r w:rsidRPr="00C469A8">
        <w:rPr>
          <w:i/>
          <w:iCs/>
        </w:rPr>
        <w:t>cont_tech</w:t>
      </w:r>
      <w:r>
        <w:t>), Real wage rate (</w:t>
      </w:r>
      <w:r w:rsidRPr="00C469A8">
        <w:rPr>
          <w:i/>
          <w:iCs/>
        </w:rPr>
        <w:t>realwager</w:t>
      </w:r>
      <w:r>
        <w:t>) and Rate of return on capital (</w:t>
      </w:r>
      <w:r w:rsidRPr="00C469A8">
        <w:rPr>
          <w:i/>
          <w:iCs/>
        </w:rPr>
        <w:t>rorc</w:t>
      </w:r>
      <w:r>
        <w:t>).</w:t>
      </w:r>
    </w:p>
    <w:p w14:paraId="256D52AE" w14:textId="02BE2D9F" w:rsidR="00153E3C" w:rsidRDefault="00153E3C" w:rsidP="00D304A5">
      <w:pPr>
        <w:pStyle w:val="ParagraphText"/>
      </w:pPr>
      <w:r w:rsidRPr="00830C65">
        <w:rPr>
          <w:b/>
          <w:bCs/>
        </w:rPr>
        <w:t xml:space="preserve">Table </w:t>
      </w:r>
      <w:r w:rsidR="001F2BCA">
        <w:rPr>
          <w:b/>
          <w:bCs/>
        </w:rPr>
        <w:t>11</w:t>
      </w:r>
      <w:r>
        <w:t xml:space="preserve"> pre</w:t>
      </w:r>
      <w:r w:rsidRPr="00830C65">
        <w:t xml:space="preserve">sents </w:t>
      </w:r>
      <w:r>
        <w:t xml:space="preserve">average annual </w:t>
      </w:r>
      <w:r w:rsidRPr="00830C65">
        <w:t xml:space="preserve">results </w:t>
      </w:r>
      <w:r>
        <w:t xml:space="preserve">for each of the 4 simulation periods </w:t>
      </w:r>
      <w:r w:rsidRPr="00830C65">
        <w:t xml:space="preserve">for Real </w:t>
      </w:r>
      <w:r>
        <w:t>GDP (</w:t>
      </w:r>
      <w:r w:rsidRPr="00C469A8">
        <w:rPr>
          <w:i/>
          <w:iCs/>
        </w:rPr>
        <w:t>qgdp</w:t>
      </w:r>
      <w:r>
        <w:t>), Real private consumption (</w:t>
      </w:r>
      <w:r w:rsidRPr="00C469A8">
        <w:rPr>
          <w:i/>
          <w:iCs/>
        </w:rPr>
        <w:t>cr</w:t>
      </w:r>
      <w:r>
        <w:t>), Real government consumption (</w:t>
      </w:r>
      <w:r w:rsidRPr="000928D5">
        <w:rPr>
          <w:i/>
          <w:iCs/>
        </w:rPr>
        <w:t>gr</w:t>
      </w:r>
      <w:r>
        <w:t>), Real investment (</w:t>
      </w:r>
      <w:r w:rsidRPr="000928D5">
        <w:rPr>
          <w:i/>
          <w:iCs/>
        </w:rPr>
        <w:t>qcgds</w:t>
      </w:r>
      <w:r>
        <w:t>), Export volumes (</w:t>
      </w:r>
      <w:r w:rsidRPr="000928D5">
        <w:rPr>
          <w:i/>
          <w:iCs/>
        </w:rPr>
        <w:t>expvol</w:t>
      </w:r>
      <w:r>
        <w:t>), Import volumes (</w:t>
      </w:r>
      <w:r w:rsidRPr="000928D5">
        <w:rPr>
          <w:i/>
          <w:iCs/>
        </w:rPr>
        <w:t>impvol</w:t>
      </w:r>
      <w:r>
        <w:t xml:space="preserve">).  </w:t>
      </w:r>
    </w:p>
    <w:p w14:paraId="6E09945B" w14:textId="54E8F092" w:rsidR="00153E3C" w:rsidRDefault="00153E3C" w:rsidP="00D304A5">
      <w:pPr>
        <w:pStyle w:val="ParagraphText"/>
      </w:pPr>
      <w:r w:rsidRPr="00830C65">
        <w:rPr>
          <w:b/>
          <w:bCs/>
        </w:rPr>
        <w:t xml:space="preserve">Table </w:t>
      </w:r>
      <w:r w:rsidR="001F2BCA">
        <w:rPr>
          <w:b/>
          <w:bCs/>
        </w:rPr>
        <w:t>12</w:t>
      </w:r>
      <w:r>
        <w:t xml:space="preserve"> pre</w:t>
      </w:r>
      <w:r w:rsidRPr="00830C65">
        <w:t xml:space="preserve">sents </w:t>
      </w:r>
      <w:r>
        <w:t xml:space="preserve">average annual </w:t>
      </w:r>
      <w:r w:rsidRPr="00830C65">
        <w:t xml:space="preserve">results </w:t>
      </w:r>
      <w:r>
        <w:t xml:space="preserve">for each of the 4 simulation periods </w:t>
      </w:r>
      <w:r w:rsidRPr="00830C65">
        <w:t xml:space="preserve">for </w:t>
      </w:r>
      <w:r>
        <w:t>Terms of trade (</w:t>
      </w:r>
      <w:r w:rsidRPr="000928D5">
        <w:rPr>
          <w:i/>
          <w:iCs/>
        </w:rPr>
        <w:t>tot</w:t>
      </w:r>
      <w:r>
        <w:t xml:space="preserve">).  </w:t>
      </w:r>
    </w:p>
    <w:p w14:paraId="008D66C7" w14:textId="0761F9A5" w:rsidR="00153E3C" w:rsidRDefault="00153E3C" w:rsidP="00D304A5">
      <w:pPr>
        <w:pStyle w:val="ParagraphText"/>
      </w:pPr>
      <w:r w:rsidRPr="00830C65">
        <w:rPr>
          <w:b/>
          <w:bCs/>
        </w:rPr>
        <w:t xml:space="preserve">Table </w:t>
      </w:r>
      <w:r w:rsidR="001F2BCA">
        <w:rPr>
          <w:b/>
          <w:bCs/>
        </w:rPr>
        <w:t>13</w:t>
      </w:r>
      <w:r>
        <w:t xml:space="preserve"> pre</w:t>
      </w:r>
      <w:r w:rsidRPr="00830C65">
        <w:t xml:space="preserve">sents </w:t>
      </w:r>
      <w:r>
        <w:t>data (coefficients) and simulation results (variables) s.  The country rows of the first 4 columns are the post sim values for the ratios of private plus government consumption to income (</w:t>
      </w:r>
      <w:r w:rsidRPr="006A53B2">
        <w:rPr>
          <w:i/>
          <w:iCs/>
        </w:rPr>
        <w:t>RAT_CY</w:t>
      </w:r>
      <w:r>
        <w:t xml:space="preserve">).  These are the values of </w:t>
      </w:r>
      <w:r w:rsidRPr="000A58FD">
        <w:rPr>
          <w:i/>
          <w:iCs/>
        </w:rPr>
        <w:t>RAT_CY</w:t>
      </w:r>
      <w:r>
        <w:t xml:space="preserve"> in 2919, 2030, 2040 and 2050. </w:t>
      </w:r>
    </w:p>
    <w:tbl>
      <w:tblPr>
        <w:tblStyle w:val="TableGrid2"/>
        <w:tblW w:w="763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6048"/>
        <w:gridCol w:w="792"/>
      </w:tblGrid>
      <w:tr w:rsidR="008F175B" w:rsidRPr="003A20DA" w14:paraId="02ADAB58" w14:textId="77777777" w:rsidTr="00D50E44">
        <w:trPr>
          <w:trHeight w:val="288"/>
          <w:jc w:val="center"/>
        </w:trPr>
        <w:tc>
          <w:tcPr>
            <w:tcW w:w="792" w:type="dxa"/>
            <w:vAlign w:val="center"/>
          </w:tcPr>
          <w:p w14:paraId="22453C80" w14:textId="77777777" w:rsidR="008F175B" w:rsidRPr="003A20DA" w:rsidRDefault="008F175B" w:rsidP="00D50E44">
            <w:pPr>
              <w:spacing w:before="120" w:after="120"/>
              <w:jc w:val="center"/>
            </w:pPr>
          </w:p>
        </w:tc>
        <w:tc>
          <w:tcPr>
            <w:tcW w:w="6048" w:type="dxa"/>
            <w:vAlign w:val="center"/>
          </w:tcPr>
          <w:p w14:paraId="552EB565" w14:textId="195DE5B0" w:rsidR="008F175B" w:rsidRPr="008F175B" w:rsidRDefault="008F175B" w:rsidP="00D50E44">
            <w:pPr>
              <w:spacing w:before="120" w:after="120"/>
              <w:jc w:val="center"/>
              <w:rPr>
                <w:rFonts w:ascii="Cambria Math" w:hAnsi="Cambria Math"/>
                <w:i/>
              </w:rPr>
            </w:pPr>
            <m:oMathPara>
              <m:oMath>
                <m:r>
                  <w:rPr>
                    <w:rFonts w:ascii="Cambria Math" w:hAnsi="Cambria Math" w:cs="Times New Roman"/>
                  </w:rPr>
                  <m:t>RAT_CY(r)=</m:t>
                </m:r>
                <m:f>
                  <m:fPr>
                    <m:ctrlPr>
                      <w:rPr>
                        <w:rFonts w:ascii="Cambria Math" w:hAnsi="Cambria Math" w:cs="Times New Roman"/>
                        <w:i/>
                      </w:rPr>
                    </m:ctrlPr>
                  </m:fPr>
                  <m:num>
                    <m:r>
                      <w:rPr>
                        <w:rFonts w:ascii="Cambria Math" w:hAnsi="Cambria Math" w:cs="Times New Roman"/>
                      </w:rPr>
                      <m:t>PRIVEXP(r)+GOVEXP(r)</m:t>
                    </m:r>
                  </m:num>
                  <m:den>
                    <m:r>
                      <w:rPr>
                        <w:rFonts w:ascii="Cambria Math" w:hAnsi="Cambria Math" w:cs="Times New Roman"/>
                      </w:rPr>
                      <m:t>INCOME(r)</m:t>
                    </m:r>
                  </m:den>
                </m:f>
              </m:oMath>
            </m:oMathPara>
          </w:p>
        </w:tc>
        <w:tc>
          <w:tcPr>
            <w:tcW w:w="792" w:type="dxa"/>
            <w:vAlign w:val="center"/>
          </w:tcPr>
          <w:p w14:paraId="7BF1B4B0" w14:textId="5F152F38" w:rsidR="008F175B" w:rsidRPr="003A20DA" w:rsidRDefault="008F175B" w:rsidP="00D50E44">
            <w:pPr>
              <w:spacing w:before="120" w:after="120"/>
              <w:jc w:val="right"/>
              <w:rPr>
                <w:rFonts w:ascii="Book Antiqua" w:hAnsi="Book Antiqua"/>
                <w:szCs w:val="24"/>
              </w:rPr>
            </w:pPr>
            <w:r w:rsidRPr="003A20DA">
              <w:rPr>
                <w:rFonts w:ascii="Book Antiqua" w:hAnsi="Book Antiqua"/>
                <w:szCs w:val="24"/>
              </w:rPr>
              <w:t>(</w:t>
            </w:r>
            <w:r>
              <w:rPr>
                <w:rFonts w:ascii="Book Antiqua" w:hAnsi="Book Antiqua"/>
                <w:szCs w:val="24"/>
              </w:rPr>
              <w:t>A.</w:t>
            </w:r>
            <w:r>
              <w:rPr>
                <w:rFonts w:ascii="Book Antiqua" w:hAnsi="Book Antiqua"/>
                <w:szCs w:val="24"/>
              </w:rPr>
              <w:fldChar w:fldCharType="begin"/>
            </w:r>
            <w:r>
              <w:rPr>
                <w:rFonts w:ascii="Book Antiqua" w:hAnsi="Book Antiqua"/>
                <w:szCs w:val="24"/>
              </w:rPr>
              <w:instrText xml:space="preserve"> SEQ Eq \* MERGEFORMAT </w:instrText>
            </w:r>
            <w:r>
              <w:rPr>
                <w:rFonts w:ascii="Book Antiqua" w:hAnsi="Book Antiqua"/>
                <w:szCs w:val="24"/>
              </w:rPr>
              <w:fldChar w:fldCharType="separate"/>
            </w:r>
            <w:r>
              <w:rPr>
                <w:rFonts w:ascii="Book Antiqua" w:hAnsi="Book Antiqua"/>
                <w:noProof/>
                <w:szCs w:val="24"/>
              </w:rPr>
              <w:t>1</w:t>
            </w:r>
            <w:r>
              <w:rPr>
                <w:rFonts w:ascii="Book Antiqua" w:hAnsi="Book Antiqua"/>
                <w:szCs w:val="24"/>
              </w:rPr>
              <w:fldChar w:fldCharType="end"/>
            </w:r>
            <w:r w:rsidRPr="003A20DA">
              <w:rPr>
                <w:rFonts w:ascii="Book Antiqua" w:hAnsi="Book Antiqua"/>
                <w:szCs w:val="24"/>
              </w:rPr>
              <w:t>)</w:t>
            </w:r>
          </w:p>
        </w:tc>
      </w:tr>
    </w:tbl>
    <w:p w14:paraId="374EB6FF" w14:textId="77777777" w:rsidR="00153E3C" w:rsidRDefault="00153E3C" w:rsidP="005D2B57">
      <w:pPr>
        <w:pStyle w:val="ParagraphText"/>
      </w:pPr>
      <w:r>
        <w:t>The “world average” row of the first 4 columns are the post sim values for the ratios of private plus government consumption to income at the world level (</w:t>
      </w:r>
      <w:r w:rsidRPr="00E10196">
        <w:rPr>
          <w:i/>
          <w:iCs/>
        </w:rPr>
        <w:t>RAT_CYW</w:t>
      </w:r>
      <w:r>
        <w:t>).</w:t>
      </w:r>
    </w:p>
    <w:tbl>
      <w:tblPr>
        <w:tblStyle w:val="TableGrid2"/>
        <w:tblW w:w="763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6048"/>
        <w:gridCol w:w="792"/>
      </w:tblGrid>
      <w:tr w:rsidR="00FE6ED8" w:rsidRPr="003A20DA" w14:paraId="626848C1" w14:textId="77777777" w:rsidTr="00D50E44">
        <w:trPr>
          <w:trHeight w:val="288"/>
          <w:jc w:val="center"/>
        </w:trPr>
        <w:tc>
          <w:tcPr>
            <w:tcW w:w="792" w:type="dxa"/>
            <w:vAlign w:val="center"/>
          </w:tcPr>
          <w:p w14:paraId="22139BEE" w14:textId="77777777" w:rsidR="00FE6ED8" w:rsidRPr="003A20DA" w:rsidRDefault="00FE6ED8" w:rsidP="00D50E44">
            <w:pPr>
              <w:spacing w:before="120" w:after="120"/>
              <w:jc w:val="center"/>
            </w:pPr>
          </w:p>
        </w:tc>
        <w:tc>
          <w:tcPr>
            <w:tcW w:w="6048" w:type="dxa"/>
            <w:vAlign w:val="center"/>
          </w:tcPr>
          <w:p w14:paraId="6551BB05" w14:textId="7B31AC10" w:rsidR="00FE6ED8" w:rsidRPr="00916118" w:rsidRDefault="00FE6ED8" w:rsidP="00D50E44">
            <w:pPr>
              <w:spacing w:before="120" w:after="120"/>
              <w:jc w:val="center"/>
              <w:rPr>
                <w:rFonts w:ascii="Cambria Math" w:hAnsi="Cambria Math"/>
                <w:i/>
              </w:rPr>
            </w:pPr>
            <m:oMathPara>
              <m:oMath>
                <m:r>
                  <w:rPr>
                    <w:rFonts w:ascii="Cambria Math" w:hAnsi="Times New Roman" w:cs="Times New Roman"/>
                  </w:rPr>
                  <m:t>RAT_CYW=</m:t>
                </m:r>
                <m:f>
                  <m:fPr>
                    <m:ctrlPr>
                      <w:rPr>
                        <w:rFonts w:ascii="Cambria Math" w:hAnsi="Times New Roman" w:cs="Times New Roman"/>
                        <w:i/>
                      </w:rPr>
                    </m:ctrlPr>
                  </m:fPr>
                  <m:num>
                    <m:nary>
                      <m:naryPr>
                        <m:chr m:val="∑"/>
                        <m:supHide m:val="1"/>
                        <m:ctrlPr>
                          <w:rPr>
                            <w:rFonts w:ascii="Cambria Math" w:hAnsi="Times New Roman" w:cs="Times New Roman"/>
                            <w:i/>
                          </w:rPr>
                        </m:ctrlPr>
                      </m:naryPr>
                      <m:sub>
                        <m:r>
                          <w:rPr>
                            <w:rFonts w:ascii="Cambria Math" w:hAnsi="Times New Roman" w:cs="Times New Roman"/>
                          </w:rPr>
                          <m:t>r</m:t>
                        </m:r>
                      </m:sub>
                      <m:sup/>
                      <m:e>
                        <m:d>
                          <m:dPr>
                            <m:ctrlPr>
                              <w:rPr>
                                <w:rFonts w:ascii="Cambria Math" w:hAnsi="Times New Roman" w:cs="Times New Roman"/>
                                <w:i/>
                              </w:rPr>
                            </m:ctrlPr>
                          </m:dPr>
                          <m:e>
                            <m:r>
                              <w:rPr>
                                <w:rFonts w:ascii="Cambria Math" w:hAnsi="Times New Roman" w:cs="Times New Roman"/>
                              </w:rPr>
                              <m:t>PRIVEXP(r)+GOVEXP(r)</m:t>
                            </m:r>
                          </m:e>
                        </m:d>
                        <m:ctrlPr>
                          <w:rPr>
                            <w:rFonts w:ascii="Cambria Math" w:hAnsi="Cambria Math" w:cs="Times New Roman"/>
                            <w:i/>
                          </w:rPr>
                        </m:ctrlPr>
                      </m:e>
                    </m:nary>
                    <m:ctrlPr>
                      <w:rPr>
                        <w:rFonts w:ascii="Cambria Math" w:hAnsi="Cambria Math" w:cs="Times New Roman"/>
                        <w:i/>
                      </w:rPr>
                    </m:ctrlPr>
                  </m:num>
                  <m:den>
                    <m:nary>
                      <m:naryPr>
                        <m:chr m:val="∑"/>
                        <m:supHide m:val="1"/>
                        <m:ctrlPr>
                          <w:rPr>
                            <w:rFonts w:ascii="Cambria Math" w:hAnsi="Times New Roman" w:cs="Times New Roman"/>
                            <w:i/>
                          </w:rPr>
                        </m:ctrlPr>
                      </m:naryPr>
                      <m:sub>
                        <m:r>
                          <w:rPr>
                            <w:rFonts w:ascii="Cambria Math" w:hAnsi="Times New Roman" w:cs="Times New Roman"/>
                          </w:rPr>
                          <m:t>r</m:t>
                        </m:r>
                      </m:sub>
                      <m:sup/>
                      <m:e>
                        <m:r>
                          <w:rPr>
                            <w:rFonts w:ascii="Cambria Math" w:hAnsi="Times New Roman" w:cs="Times New Roman"/>
                          </w:rPr>
                          <m:t>INCOME(r)</m:t>
                        </m:r>
                      </m:e>
                    </m:nary>
                    <m:ctrlPr>
                      <w:rPr>
                        <w:rFonts w:ascii="Cambria Math" w:hAnsi="Cambria Math" w:cs="Times New Roman"/>
                        <w:i/>
                      </w:rPr>
                    </m:ctrlPr>
                  </m:den>
                </m:f>
              </m:oMath>
            </m:oMathPara>
          </w:p>
        </w:tc>
        <w:tc>
          <w:tcPr>
            <w:tcW w:w="792" w:type="dxa"/>
            <w:vAlign w:val="center"/>
          </w:tcPr>
          <w:p w14:paraId="0B80AC8D" w14:textId="3974D47D" w:rsidR="00FE6ED8" w:rsidRPr="003A20DA" w:rsidRDefault="00FE6ED8" w:rsidP="00D50E44">
            <w:pPr>
              <w:spacing w:before="120" w:after="120"/>
              <w:jc w:val="right"/>
              <w:rPr>
                <w:rFonts w:ascii="Book Antiqua" w:hAnsi="Book Antiqua"/>
                <w:szCs w:val="24"/>
              </w:rPr>
            </w:pPr>
            <w:r w:rsidRPr="003A20DA">
              <w:rPr>
                <w:rFonts w:ascii="Book Antiqua" w:hAnsi="Book Antiqua"/>
                <w:szCs w:val="24"/>
              </w:rPr>
              <w:t>(</w:t>
            </w:r>
            <w:r>
              <w:rPr>
                <w:rFonts w:ascii="Book Antiqua" w:hAnsi="Book Antiqua"/>
                <w:szCs w:val="24"/>
              </w:rPr>
              <w:t>A.</w:t>
            </w:r>
            <w:r>
              <w:rPr>
                <w:rFonts w:ascii="Book Antiqua" w:hAnsi="Book Antiqua"/>
                <w:szCs w:val="24"/>
              </w:rPr>
              <w:fldChar w:fldCharType="begin"/>
            </w:r>
            <w:r>
              <w:rPr>
                <w:rFonts w:ascii="Book Antiqua" w:hAnsi="Book Antiqua"/>
                <w:szCs w:val="24"/>
              </w:rPr>
              <w:instrText xml:space="preserve"> SEQ Eq \* MERGEFORMAT </w:instrText>
            </w:r>
            <w:r>
              <w:rPr>
                <w:rFonts w:ascii="Book Antiqua" w:hAnsi="Book Antiqua"/>
                <w:szCs w:val="24"/>
              </w:rPr>
              <w:fldChar w:fldCharType="separate"/>
            </w:r>
            <w:r>
              <w:rPr>
                <w:rFonts w:ascii="Book Antiqua" w:hAnsi="Book Antiqua"/>
                <w:noProof/>
                <w:szCs w:val="24"/>
              </w:rPr>
              <w:t>2</w:t>
            </w:r>
            <w:r>
              <w:rPr>
                <w:rFonts w:ascii="Book Antiqua" w:hAnsi="Book Antiqua"/>
                <w:szCs w:val="24"/>
              </w:rPr>
              <w:fldChar w:fldCharType="end"/>
            </w:r>
            <w:r w:rsidRPr="003A20DA">
              <w:rPr>
                <w:rFonts w:ascii="Book Antiqua" w:hAnsi="Book Antiqua"/>
                <w:szCs w:val="24"/>
              </w:rPr>
              <w:t>)</w:t>
            </w:r>
          </w:p>
        </w:tc>
      </w:tr>
    </w:tbl>
    <w:p w14:paraId="65C65E04" w14:textId="54B2E8EF" w:rsidR="00153E3C" w:rsidRPr="00E3430F" w:rsidRDefault="00153E3C" w:rsidP="005D2B57">
      <w:pPr>
        <w:pStyle w:val="ParagraphText"/>
      </w:pPr>
      <w:r w:rsidRPr="00E3430F">
        <w:t>The 5</w:t>
      </w:r>
      <w:r w:rsidRPr="00E3430F">
        <w:rPr>
          <w:vertAlign w:val="superscript"/>
        </w:rPr>
        <w:t>th</w:t>
      </w:r>
      <w:r w:rsidRPr="00E3430F">
        <w:t>, 6</w:t>
      </w:r>
      <w:r w:rsidRPr="00E3430F">
        <w:rPr>
          <w:vertAlign w:val="superscript"/>
        </w:rPr>
        <w:t>th</w:t>
      </w:r>
      <w:r w:rsidRPr="00E3430F">
        <w:t xml:space="preserve"> and 7</w:t>
      </w:r>
      <w:r w:rsidRPr="00E3430F">
        <w:rPr>
          <w:vertAlign w:val="superscript"/>
        </w:rPr>
        <w:t>th</w:t>
      </w:r>
      <w:r w:rsidRPr="00E3430F">
        <w:t xml:space="preserve"> columns of Table </w:t>
      </w:r>
      <w:r w:rsidR="009018BF">
        <w:t>13</w:t>
      </w:r>
      <w:r w:rsidRPr="00E3430F">
        <w:t xml:space="preserve"> are the percentage changes in the ratios of wealth to GDP (</w:t>
      </w:r>
      <w:r w:rsidRPr="002221F0">
        <w:rPr>
          <w:i/>
          <w:iCs/>
        </w:rPr>
        <w:t>f_wqh</w:t>
      </w:r>
      <w:r w:rsidRPr="00E3430F">
        <w:t xml:space="preserve">) in the periods 2019-30, 2030-40 and 2040-50.  </w:t>
      </w:r>
    </w:p>
    <w:p w14:paraId="06119B78" w14:textId="6E9F094A" w:rsidR="00153E3C" w:rsidRDefault="00153E3C" w:rsidP="005D2B57">
      <w:pPr>
        <w:pStyle w:val="ParagraphText"/>
        <w:rPr>
          <w:bCs/>
        </w:rPr>
      </w:pPr>
      <w:r w:rsidRPr="00E3430F">
        <w:rPr>
          <w:b/>
          <w:bCs/>
        </w:rPr>
        <w:t xml:space="preserve">Table </w:t>
      </w:r>
      <w:r w:rsidR="009018BF">
        <w:rPr>
          <w:b/>
          <w:bCs/>
        </w:rPr>
        <w:t>14</w:t>
      </w:r>
      <w:r w:rsidRPr="00E3430F">
        <w:rPr>
          <w:b/>
          <w:bCs/>
        </w:rPr>
        <w:t xml:space="preserve"> </w:t>
      </w:r>
      <w:r w:rsidRPr="00E3430F">
        <w:rPr>
          <w:bCs/>
        </w:rPr>
        <w:t xml:space="preserve">presents annual % shifts in fossil-fuel inputs per unit of activity by using agents.  The relevant variable for producing the results in the top part of the table is a_int(j).  The results in the able are x(j) given by </w:t>
      </w:r>
    </w:p>
    <w:tbl>
      <w:tblPr>
        <w:tblStyle w:val="TableGrid2"/>
        <w:tblW w:w="763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
        <w:gridCol w:w="6048"/>
        <w:gridCol w:w="792"/>
      </w:tblGrid>
      <w:tr w:rsidR="006673E2" w:rsidRPr="003A20DA" w14:paraId="20EF146E" w14:textId="77777777" w:rsidTr="00D50E44">
        <w:trPr>
          <w:trHeight w:val="288"/>
          <w:jc w:val="center"/>
        </w:trPr>
        <w:tc>
          <w:tcPr>
            <w:tcW w:w="792" w:type="dxa"/>
            <w:vAlign w:val="center"/>
          </w:tcPr>
          <w:p w14:paraId="08B0B313" w14:textId="77777777" w:rsidR="006673E2" w:rsidRPr="003A20DA" w:rsidRDefault="006673E2" w:rsidP="00D50E44">
            <w:pPr>
              <w:spacing w:before="120" w:after="120"/>
              <w:jc w:val="center"/>
            </w:pPr>
          </w:p>
        </w:tc>
        <w:tc>
          <w:tcPr>
            <w:tcW w:w="6048" w:type="dxa"/>
            <w:vAlign w:val="center"/>
          </w:tcPr>
          <w:p w14:paraId="7DD28630" w14:textId="6D0DB20D" w:rsidR="006673E2" w:rsidRPr="0043662A" w:rsidRDefault="0043662A" w:rsidP="00D50E44">
            <w:pPr>
              <w:spacing w:before="120" w:after="120"/>
              <w:jc w:val="center"/>
              <w:rPr>
                <w:rFonts w:ascii="Cambria Math" w:hAnsi="Cambria Math"/>
                <w:i/>
              </w:rPr>
            </w:pPr>
            <m:oMathPara>
              <m:oMath>
                <m:r>
                  <w:rPr>
                    <w:rFonts w:ascii="Cambria Math" w:hAnsi="Cambria Math" w:cs="Times New Roman"/>
                  </w:rPr>
                  <m:t>x=100*</m:t>
                </m:r>
                <m:d>
                  <m:dPr>
                    <m:begChr m:val="["/>
                    <m:endChr m:val="]"/>
                    <m:ctrlPr>
                      <w:rPr>
                        <w:rFonts w:ascii="Cambria Math" w:hAnsi="Cambria Math" w:cs="Times New Roman"/>
                        <w:i/>
                      </w:rPr>
                    </m:ctrlPr>
                  </m:dPr>
                  <m:e>
                    <m:f>
                      <m:fPr>
                        <m:ctrlPr>
                          <w:rPr>
                            <w:rFonts w:ascii="Cambria Math" w:hAnsi="Cambria Math" w:cs="Times New Roman"/>
                            <w:i/>
                          </w:rPr>
                        </m:ctrlPr>
                      </m:fPr>
                      <m:num>
                        <m:r>
                          <w:rPr>
                            <w:rFonts w:ascii="Cambria Math" w:hAnsi="Cambria Math" w:cs="Times New Roman"/>
                          </w:rPr>
                          <m:t>1</m:t>
                        </m:r>
                      </m:num>
                      <m:den>
                        <m:sSup>
                          <m:sSupPr>
                            <m:ctrlPr>
                              <w:rPr>
                                <w:rFonts w:ascii="Cambria Math" w:hAnsi="Cambria Math" w:cs="Times New Roman"/>
                                <w:i/>
                              </w:rPr>
                            </m:ctrlPr>
                          </m:sSupPr>
                          <m:e>
                            <m:d>
                              <m:dPr>
                                <m:ctrlPr>
                                  <w:rPr>
                                    <w:rFonts w:ascii="Cambria Math" w:hAnsi="Cambria Math" w:cs="Times New Roman"/>
                                    <w:i/>
                                  </w:rPr>
                                </m:ctrlPr>
                              </m:dPr>
                              <m:e>
                                <m:r>
                                  <w:rPr>
                                    <w:rFonts w:ascii="Cambria Math" w:hAnsi="Cambria Math" w:cs="Times New Roman"/>
                                  </w:rPr>
                                  <m:t>1+</m:t>
                                </m:r>
                                <m:f>
                                  <m:fPr>
                                    <m:ctrlPr>
                                      <w:rPr>
                                        <w:rFonts w:ascii="Cambria Math" w:hAnsi="Cambria Math" w:cs="Times New Roman"/>
                                        <w:i/>
                                      </w:rPr>
                                    </m:ctrlPr>
                                  </m:fPr>
                                  <m:num>
                                    <m:r>
                                      <w:rPr>
                                        <w:rFonts w:ascii="Cambria Math" w:hAnsi="Cambria Math" w:cs="Times New Roman"/>
                                      </w:rPr>
                                      <m:t>a_</m:t>
                                    </m:r>
                                    <m:func>
                                      <m:funcPr>
                                        <m:ctrlPr>
                                          <w:rPr>
                                            <w:rFonts w:ascii="Cambria Math" w:hAnsi="Cambria Math" w:cs="Times New Roman"/>
                                            <w:i/>
                                          </w:rPr>
                                        </m:ctrlPr>
                                      </m:funcPr>
                                      <m:fName>
                                        <m:r>
                                          <w:rPr>
                                            <w:rFonts w:ascii="Cambria Math" w:hAnsi="Cambria Math" w:cs="Times New Roman"/>
                                          </w:rPr>
                                          <m:t>int</m:t>
                                        </m:r>
                                      </m:fName>
                                      <m:e>
                                        <m:r>
                                          <w:rPr>
                                            <w:rFonts w:ascii="Cambria Math" w:hAnsi="Cambria Math" w:cs="Times New Roman"/>
                                          </w:rPr>
                                          <m:t>(</m:t>
                                        </m:r>
                                      </m:e>
                                    </m:func>
                                    <m:r>
                                      <w:rPr>
                                        <w:rFonts w:ascii="Cambria Math" w:hAnsi="Cambria Math" w:cs="Times New Roman"/>
                                      </w:rPr>
                                      <m:t>j)</m:t>
                                    </m:r>
                                  </m:num>
                                  <m:den>
                                    <m:r>
                                      <w:rPr>
                                        <w:rFonts w:ascii="Cambria Math" w:hAnsi="Cambria Math" w:cs="Times New Roman"/>
                                      </w:rPr>
                                      <m:t>100</m:t>
                                    </m:r>
                                  </m:den>
                                </m:f>
                              </m:e>
                            </m:d>
                          </m:e>
                          <m:sup>
                            <m:f>
                              <m:fPr>
                                <m:ctrlPr>
                                  <w:rPr>
                                    <w:rFonts w:ascii="Cambria Math" w:hAnsi="Cambria Math" w:cs="Times New Roman"/>
                                    <w:i/>
                                  </w:rPr>
                                </m:ctrlPr>
                              </m:fPr>
                              <m:num>
                                <m:r>
                                  <w:rPr>
                                    <w:rFonts w:ascii="Cambria Math" w:hAnsi="Cambria Math" w:cs="Times New Roman"/>
                                  </w:rPr>
                                  <m:t>1</m:t>
                                </m:r>
                              </m:num>
                              <m:den>
                                <m:r>
                                  <w:rPr>
                                    <w:rFonts w:ascii="Cambria Math" w:hAnsi="Cambria Math" w:cs="Times New Roman"/>
                                  </w:rPr>
                                  <m:t>t</m:t>
                                </m:r>
                              </m:den>
                            </m:f>
                          </m:sup>
                        </m:sSup>
                      </m:den>
                    </m:f>
                    <m:r>
                      <w:rPr>
                        <w:rFonts w:ascii="Cambria Math" w:hAnsi="Cambria Math" w:cs="Times New Roman"/>
                      </w:rPr>
                      <m:t>-1</m:t>
                    </m:r>
                  </m:e>
                </m:d>
              </m:oMath>
            </m:oMathPara>
          </w:p>
        </w:tc>
        <w:tc>
          <w:tcPr>
            <w:tcW w:w="792" w:type="dxa"/>
            <w:vAlign w:val="center"/>
          </w:tcPr>
          <w:p w14:paraId="1072D8AD" w14:textId="4360F617" w:rsidR="006673E2" w:rsidRPr="003A20DA" w:rsidRDefault="006673E2" w:rsidP="00D50E44">
            <w:pPr>
              <w:spacing w:before="120" w:after="120"/>
              <w:jc w:val="right"/>
              <w:rPr>
                <w:rFonts w:ascii="Book Antiqua" w:hAnsi="Book Antiqua"/>
                <w:szCs w:val="24"/>
              </w:rPr>
            </w:pPr>
            <w:r w:rsidRPr="003A20DA">
              <w:rPr>
                <w:rFonts w:ascii="Book Antiqua" w:hAnsi="Book Antiqua"/>
                <w:szCs w:val="24"/>
              </w:rPr>
              <w:t>(</w:t>
            </w:r>
            <w:r w:rsidR="0043662A">
              <w:rPr>
                <w:rFonts w:ascii="Book Antiqua" w:hAnsi="Book Antiqua"/>
                <w:szCs w:val="24"/>
              </w:rPr>
              <w:t>A.</w:t>
            </w:r>
            <w:r>
              <w:rPr>
                <w:rFonts w:ascii="Book Antiqua" w:hAnsi="Book Antiqua"/>
                <w:szCs w:val="24"/>
              </w:rPr>
              <w:fldChar w:fldCharType="begin"/>
            </w:r>
            <w:r>
              <w:rPr>
                <w:rFonts w:ascii="Book Antiqua" w:hAnsi="Book Antiqua"/>
                <w:szCs w:val="24"/>
              </w:rPr>
              <w:instrText xml:space="preserve"> SEQ Eq \* MERGEFORMAT </w:instrText>
            </w:r>
            <w:r>
              <w:rPr>
                <w:rFonts w:ascii="Book Antiqua" w:hAnsi="Book Antiqua"/>
                <w:szCs w:val="24"/>
              </w:rPr>
              <w:fldChar w:fldCharType="separate"/>
            </w:r>
            <w:r>
              <w:rPr>
                <w:rFonts w:ascii="Book Antiqua" w:hAnsi="Book Antiqua"/>
                <w:noProof/>
                <w:szCs w:val="24"/>
              </w:rPr>
              <w:t>3</w:t>
            </w:r>
            <w:r>
              <w:rPr>
                <w:rFonts w:ascii="Book Antiqua" w:hAnsi="Book Antiqua"/>
                <w:szCs w:val="24"/>
              </w:rPr>
              <w:fldChar w:fldCharType="end"/>
            </w:r>
            <w:r w:rsidRPr="003A20DA">
              <w:rPr>
                <w:rFonts w:ascii="Book Antiqua" w:hAnsi="Book Antiqua"/>
                <w:szCs w:val="24"/>
              </w:rPr>
              <w:t>)</w:t>
            </w:r>
          </w:p>
        </w:tc>
      </w:tr>
    </w:tbl>
    <w:p w14:paraId="6BC14696" w14:textId="77777777" w:rsidR="00153E3C" w:rsidRPr="00E3430F" w:rsidRDefault="00153E3C" w:rsidP="005D2B57">
      <w:pPr>
        <w:pStyle w:val="ParagraphText"/>
        <w:ind w:firstLine="0"/>
      </w:pPr>
      <w:r w:rsidRPr="00E3430F">
        <w:t xml:space="preserve">where </w:t>
      </w:r>
      <w:r w:rsidRPr="006B740D">
        <w:rPr>
          <w:i/>
          <w:iCs/>
          <w:u w:val="single"/>
        </w:rPr>
        <w:t>t</w:t>
      </w:r>
      <w:r w:rsidRPr="00E3430F">
        <w:t xml:space="preserve"> is the length of the relevant period (11 for 2019-30 and 10 for 2030-40 and 2040-50).</w:t>
      </w:r>
    </w:p>
    <w:p w14:paraId="70BDE818" w14:textId="66344E5F" w:rsidR="00153E3C" w:rsidRPr="00E3430F" w:rsidRDefault="00153E3C" w:rsidP="005D2B57">
      <w:pPr>
        <w:pStyle w:val="ParagraphText"/>
      </w:pPr>
      <w:r w:rsidRPr="00E3430F">
        <w:t xml:space="preserve">The second last row in Table </w:t>
      </w:r>
      <w:r w:rsidR="0011746D">
        <w:t>14</w:t>
      </w:r>
      <w:r w:rsidRPr="00E3430F">
        <w:t xml:space="preserve"> shows average-annual version of world output (</w:t>
      </w:r>
      <w:r w:rsidRPr="00D91264">
        <w:rPr>
          <w:i/>
          <w:iCs/>
        </w:rPr>
        <w:t>qow</w:t>
      </w:r>
      <w:r w:rsidRPr="00E3430F">
        <w:t>).</w:t>
      </w:r>
    </w:p>
    <w:p w14:paraId="407DC772" w14:textId="77777777" w:rsidR="00153E3C" w:rsidRPr="00E3430F" w:rsidRDefault="00153E3C" w:rsidP="009963D4">
      <w:pPr>
        <w:pStyle w:val="ParagraphText"/>
      </w:pPr>
      <w:r w:rsidRPr="00E3430F">
        <w:t>The last row is calculated from the results for world price (pw) and the world price of gdp (</w:t>
      </w:r>
      <w:r w:rsidRPr="00D91264">
        <w:rPr>
          <w:i/>
          <w:iCs/>
        </w:rPr>
        <w:t>pgdpg</w:t>
      </w:r>
      <w:r w:rsidRPr="00E3430F">
        <w:t xml:space="preserve">). </w:t>
      </w:r>
    </w:p>
    <w:p w14:paraId="34593B74" w14:textId="77777777" w:rsidR="00153E3C" w:rsidRPr="00E3430F" w:rsidRDefault="00153E3C" w:rsidP="009963D4">
      <w:pPr>
        <w:pStyle w:val="SecondLevelHeading"/>
      </w:pPr>
      <w:r w:rsidRPr="00E3430F">
        <w:t>Forward looking expectations</w:t>
      </w:r>
    </w:p>
    <w:p w14:paraId="5E4A9F37" w14:textId="19AD0F92" w:rsidR="00153E3C" w:rsidRPr="00E3430F" w:rsidRDefault="00153E3C" w:rsidP="006C084D">
      <w:pPr>
        <w:pStyle w:val="ParagraphText"/>
      </w:pPr>
      <w:r w:rsidRPr="00E3430F">
        <w:t>The main simulation incorporates forward-looking expectations for 2030, 2040 and a terminal condition in 2050.  This is explained in part 3 of the supplementary material.  Forward-looking expectations</w:t>
      </w:r>
      <w:r w:rsidR="00B50800">
        <w:t xml:space="preserve"> </w:t>
      </w:r>
      <w:r w:rsidRPr="00E3430F">
        <w:t xml:space="preserve">and the terminal condition are implemented by an iterative procedure starting from a simulation with static expectations. </w:t>
      </w:r>
    </w:p>
    <w:p w14:paraId="6FCAE528" w14:textId="0B016629" w:rsidR="00153E3C" w:rsidRPr="00DB6DA9" w:rsidRDefault="00153E3C" w:rsidP="006C084D">
      <w:pPr>
        <w:pStyle w:val="ParagraphText"/>
      </w:pPr>
      <w:r w:rsidRPr="00E3430F">
        <w:t>Tables A</w:t>
      </w:r>
      <w:r w:rsidR="00F544B4">
        <w:t>.21</w:t>
      </w:r>
      <w:r w:rsidRPr="00E3430F">
        <w:t>-A</w:t>
      </w:r>
      <w:r w:rsidR="00C86ED2">
        <w:t>.23</w:t>
      </w:r>
      <w:r w:rsidRPr="00E3430F">
        <w:t xml:space="preserve"> show results for the static simulation (q=1) and for the final converged simulation (q = 8).  The results for the </w:t>
      </w:r>
      <w:r>
        <w:t>static</w:t>
      </w:r>
      <w:r w:rsidRPr="00E3430F">
        <w:t xml:space="preserve"> simulation were generated </w:t>
      </w:r>
      <w:r w:rsidRPr="00DB6DA9">
        <w:t xml:space="preserve">in GTAP19A71-C73B-R01R-P01P.ZIP with a standard GTAP investment specification (equalization of expected rates of return across regions under static expectations).  </w:t>
      </w:r>
    </w:p>
    <w:p w14:paraId="55C62A1D" w14:textId="02EC21E1" w:rsidR="00153E3C" w:rsidRPr="00DB6DA9" w:rsidRDefault="00153E3C" w:rsidP="006C084D">
      <w:pPr>
        <w:pStyle w:val="ParagraphText"/>
      </w:pPr>
      <w:r w:rsidRPr="00DB6DA9">
        <w:t>In the iterative procedure, we insert guesses at each step of capital growth rates in future periods [see equations (A</w:t>
      </w:r>
      <w:r w:rsidR="00675E65">
        <w:t>.10</w:t>
      </w:r>
      <w:r w:rsidRPr="00DB6DA9">
        <w:t>) to (A</w:t>
      </w:r>
      <w:r w:rsidR="00927709">
        <w:t>.17</w:t>
      </w:r>
      <w:r w:rsidRPr="00DB6DA9">
        <w:t xml:space="preserve">) in the supplementary material].  The 4-period simulation at each iterative step prepares the guesses for the next iteration. These are the values generated for the 4 periods of the coefficient </w:t>
      </w:r>
      <w:r w:rsidRPr="00B252AF">
        <w:rPr>
          <w:i/>
          <w:iCs/>
        </w:rPr>
        <w:t>GUESS</w:t>
      </w:r>
      <w:r w:rsidRPr="00DB6DA9">
        <w:t xml:space="preserve">. Convergence has been achieved when the values for </w:t>
      </w:r>
      <w:r w:rsidRPr="00B252AF">
        <w:rPr>
          <w:i/>
          <w:iCs/>
        </w:rPr>
        <w:t>GUESS</w:t>
      </w:r>
      <w:r w:rsidRPr="00DB6DA9">
        <w:t xml:space="preserve"> generated in iteration </w:t>
      </w:r>
      <w:r w:rsidRPr="00DB6DA9">
        <w:lastRenderedPageBreak/>
        <w:t xml:space="preserve">q are the same as the values for the variable </w:t>
      </w:r>
      <w:r w:rsidRPr="00B252AF">
        <w:rPr>
          <w:i/>
          <w:iCs/>
        </w:rPr>
        <w:t>kbguess</w:t>
      </w:r>
      <w:r w:rsidRPr="00DB6DA9">
        <w:t xml:space="preserve"> used as an input to iteration q. These values for </w:t>
      </w:r>
      <w:r w:rsidRPr="001F0070">
        <w:rPr>
          <w:i/>
          <w:iCs/>
        </w:rPr>
        <w:t>kbguess</w:t>
      </w:r>
      <w:r w:rsidRPr="00DB6DA9">
        <w:t xml:space="preserve"> are the </w:t>
      </w:r>
      <w:r w:rsidRPr="001F0070">
        <w:rPr>
          <w:i/>
          <w:iCs/>
        </w:rPr>
        <w:t>GUESS</w:t>
      </w:r>
      <w:r w:rsidRPr="00DB6DA9">
        <w:t xml:space="preserve"> values from iteration q-1.  </w:t>
      </w:r>
    </w:p>
    <w:p w14:paraId="2E4A7AAB" w14:textId="77777777" w:rsidR="00153E3C" w:rsidRPr="00E3430F" w:rsidRDefault="00153E3C" w:rsidP="006C084D">
      <w:pPr>
        <w:pStyle w:val="ParagraphText"/>
      </w:pPr>
      <w:r w:rsidRPr="00DB6DA9">
        <w:t xml:space="preserve">To check that our final simulation is converged, you can look at the values for </w:t>
      </w:r>
      <w:r w:rsidRPr="001F0070">
        <w:rPr>
          <w:i/>
          <w:iCs/>
        </w:rPr>
        <w:t>GUESS</w:t>
      </w:r>
      <w:r w:rsidRPr="00DB6DA9">
        <w:t xml:space="preserve"> in period 4 in GTAP19A71-C72B-R01R-P01P.ZIP and</w:t>
      </w:r>
      <w:r w:rsidRPr="00E3430F">
        <w:t xml:space="preserve"> the shocks for </w:t>
      </w:r>
      <w:r w:rsidRPr="00D6498A">
        <w:rPr>
          <w:i/>
          <w:iCs/>
        </w:rPr>
        <w:t>kbguess</w:t>
      </w:r>
      <w:r w:rsidRPr="00E3430F">
        <w:t xml:space="preserve"> in that zip.    </w:t>
      </w:r>
    </w:p>
    <w:p w14:paraId="559525E7" w14:textId="77777777" w:rsidR="0069645C" w:rsidRPr="0069645C" w:rsidRDefault="0069645C" w:rsidP="0069645C"/>
    <w:sectPr w:rsidR="0069645C" w:rsidRPr="0069645C" w:rsidSect="002C2CAB">
      <w:footerReference w:type="default" r:id="rId9"/>
      <w:footnotePr>
        <w:numFmt w:val="lowerLetter"/>
        <w:numRestart w:val="eachSect"/>
      </w:footnotePr>
      <w:endnotePr>
        <w:numFmt w:val="lowerLetter"/>
      </w:endnotePr>
      <w:type w:val="continuous"/>
      <w:pgSz w:w="12240" w:h="15840" w:code="1"/>
      <w:pgMar w:top="2160" w:right="2160" w:bottom="2160" w:left="21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52DF8C" w14:textId="77777777" w:rsidR="005F402A" w:rsidRDefault="005F402A" w:rsidP="003225CD">
      <w:pPr>
        <w:spacing w:after="0" w:line="240" w:lineRule="auto"/>
      </w:pPr>
      <w:r>
        <w:separator/>
      </w:r>
    </w:p>
  </w:endnote>
  <w:endnote w:type="continuationSeparator" w:id="0">
    <w:p w14:paraId="40E2BC98" w14:textId="77777777" w:rsidR="005F402A" w:rsidRDefault="005F402A" w:rsidP="003225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Garamond">
    <w:panose1 w:val="020204040303010108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66574287"/>
      <w:docPartObj>
        <w:docPartGallery w:val="Page Numbers (Bottom of Page)"/>
        <w:docPartUnique/>
      </w:docPartObj>
    </w:sdtPr>
    <w:sdtEndPr>
      <w:rPr>
        <w:noProof/>
      </w:rPr>
    </w:sdtEndPr>
    <w:sdtContent>
      <w:p w14:paraId="027EEE6A" w14:textId="14D6806A" w:rsidR="00CB7CBD" w:rsidRDefault="00CB7CBD">
        <w:pPr>
          <w:pStyle w:val="Footer"/>
          <w:jc w:val="center"/>
        </w:pPr>
        <w:r w:rsidRPr="003474BE">
          <w:rPr>
            <w:rFonts w:ascii="Book Antiqua" w:hAnsi="Book Antiqua"/>
          </w:rPr>
          <w:fldChar w:fldCharType="begin"/>
        </w:r>
        <w:r w:rsidRPr="003474BE">
          <w:rPr>
            <w:rFonts w:ascii="Book Antiqua" w:hAnsi="Book Antiqua"/>
          </w:rPr>
          <w:instrText xml:space="preserve"> PAGE   \* MERGEFORMAT </w:instrText>
        </w:r>
        <w:r w:rsidRPr="003474BE">
          <w:rPr>
            <w:rFonts w:ascii="Book Antiqua" w:hAnsi="Book Antiqua"/>
          </w:rPr>
          <w:fldChar w:fldCharType="separate"/>
        </w:r>
        <w:r w:rsidR="00131612" w:rsidRPr="003474BE">
          <w:rPr>
            <w:rFonts w:ascii="Book Antiqua" w:hAnsi="Book Antiqua"/>
            <w:noProof/>
          </w:rPr>
          <w:t>11</w:t>
        </w:r>
        <w:r w:rsidRPr="003474BE">
          <w:rPr>
            <w:rFonts w:ascii="Book Antiqua" w:hAnsi="Book Antiqua"/>
            <w:noProof/>
          </w:rPr>
          <w:fldChar w:fldCharType="end"/>
        </w:r>
      </w:p>
    </w:sdtContent>
  </w:sdt>
  <w:p w14:paraId="43A48209" w14:textId="77777777" w:rsidR="00CB7CBD" w:rsidRDefault="00CB7C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0239DC" w14:textId="77777777" w:rsidR="005F402A" w:rsidRDefault="005F402A" w:rsidP="003225CD">
      <w:pPr>
        <w:spacing w:after="0" w:line="240" w:lineRule="auto"/>
      </w:pPr>
      <w:r>
        <w:separator/>
      </w:r>
    </w:p>
  </w:footnote>
  <w:footnote w:type="continuationSeparator" w:id="0">
    <w:p w14:paraId="3438720C" w14:textId="77777777" w:rsidR="005F402A" w:rsidRDefault="005F402A" w:rsidP="003225CD">
      <w:pPr>
        <w:spacing w:after="0" w:line="240" w:lineRule="auto"/>
      </w:pPr>
      <w:r>
        <w:continuationSeparator/>
      </w:r>
    </w:p>
  </w:footnote>
  <w:footnote w:id="1">
    <w:p w14:paraId="445A77FD" w14:textId="538A8DC3" w:rsidR="009B1237" w:rsidRPr="008D3F62" w:rsidRDefault="009B1237" w:rsidP="008D3F62">
      <w:pPr>
        <w:pStyle w:val="Footnote"/>
      </w:pPr>
      <w:r w:rsidRPr="00847718">
        <w:rPr>
          <w:rStyle w:val="FootnoteReference"/>
        </w:rPr>
        <w:footnoteRef/>
      </w:r>
      <w:r w:rsidR="00E406CB">
        <w:t xml:space="preserve"> </w:t>
      </w:r>
      <w:r w:rsidRPr="008D3F62">
        <w:t xml:space="preserve">Centre of Policy Studies, Victoria University, Melbourne, 8001 </w:t>
      </w:r>
      <w:r w:rsidRPr="008D3F62">
        <w:rPr>
          <w:rStyle w:val="FootnoteChar"/>
        </w:rPr>
        <w:t>(e-mail:</w:t>
      </w:r>
      <w:r w:rsidR="00CA686D" w:rsidRPr="008D3F62">
        <w:rPr>
          <w:rStyle w:val="FootnoteChar"/>
        </w:rPr>
        <w:t xml:space="preserve"> </w:t>
      </w:r>
      <w:r w:rsidRPr="008D3F62">
        <w:t>Maureen.bleazby@vu.edu.au</w:t>
      </w:r>
      <w:r w:rsidRPr="008D3F62">
        <w:rPr>
          <w:rStyle w:val="FootnoteChar"/>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834D16"/>
    <w:multiLevelType w:val="hybridMultilevel"/>
    <w:tmpl w:val="42CE50EE"/>
    <w:lvl w:ilvl="0" w:tplc="70C8455C">
      <w:start w:val="1"/>
      <w:numFmt w:val="decimal"/>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3E2AA4"/>
    <w:multiLevelType w:val="hybridMultilevel"/>
    <w:tmpl w:val="9BFEEA32"/>
    <w:lvl w:ilvl="0" w:tplc="781C260A">
      <w:start w:val="1"/>
      <w:numFmt w:val="decimal"/>
      <w:lvlText w:val="(%1)"/>
      <w:lvlJc w:val="left"/>
      <w:pPr>
        <w:ind w:left="798" w:hanging="510"/>
      </w:pPr>
      <w:rPr>
        <w:rFonts w:eastAsiaTheme="minorHAnsi"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15:restartNumberingAfterBreak="0">
    <w:nsid w:val="1F733A76"/>
    <w:multiLevelType w:val="hybridMultilevel"/>
    <w:tmpl w:val="DEC81F72"/>
    <w:lvl w:ilvl="0" w:tplc="FC5A9E1A">
      <w:start w:val="1"/>
      <w:numFmt w:val="decimal"/>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5BF235E"/>
    <w:multiLevelType w:val="hybridMultilevel"/>
    <w:tmpl w:val="8C68016A"/>
    <w:lvl w:ilvl="0" w:tplc="2DD0DBF2">
      <w:start w:val="1"/>
      <w:numFmt w:val="decimal"/>
      <w:lvlText w:val="(%1)"/>
      <w:lvlJc w:val="left"/>
      <w:pPr>
        <w:ind w:left="870" w:hanging="51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7D433EF"/>
    <w:multiLevelType w:val="hybridMultilevel"/>
    <w:tmpl w:val="F38838A6"/>
    <w:lvl w:ilvl="0" w:tplc="B7609572">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73571A1"/>
    <w:multiLevelType w:val="hybridMultilevel"/>
    <w:tmpl w:val="6C1CEA00"/>
    <w:lvl w:ilvl="0" w:tplc="9314F71E">
      <w:start w:val="1"/>
      <w:numFmt w:val="bullet"/>
      <w:pStyle w:val="Bulletedlis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16cid:durableId="2064673207">
    <w:abstractNumId w:val="5"/>
  </w:num>
  <w:num w:numId="2" w16cid:durableId="721095292">
    <w:abstractNumId w:val="4"/>
  </w:num>
  <w:num w:numId="3" w16cid:durableId="1272394825">
    <w:abstractNumId w:val="3"/>
  </w:num>
  <w:num w:numId="4" w16cid:durableId="63912529">
    <w:abstractNumId w:val="0"/>
  </w:num>
  <w:num w:numId="5" w16cid:durableId="883103607">
    <w:abstractNumId w:val="2"/>
  </w:num>
  <w:num w:numId="6" w16cid:durableId="5360907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ttachedTemplate r:id="rId1"/>
  <w:defaultTabStop w:val="720"/>
  <w:characterSpacingControl w:val="doNotCompress"/>
  <w:hdrShapeDefaults>
    <o:shapedefaults v:ext="edit" spidmax="4097"/>
  </w:hdrShapeDefaults>
  <w:footnotePr>
    <w:numFmt w:val="lowerLetter"/>
    <w:numRestart w:val="eachSect"/>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011E"/>
    <w:rsid w:val="0000426D"/>
    <w:rsid w:val="0001011E"/>
    <w:rsid w:val="0001045D"/>
    <w:rsid w:val="00016024"/>
    <w:rsid w:val="00023763"/>
    <w:rsid w:val="00023E50"/>
    <w:rsid w:val="00031B68"/>
    <w:rsid w:val="000368DC"/>
    <w:rsid w:val="00040BC0"/>
    <w:rsid w:val="00052D23"/>
    <w:rsid w:val="00053B93"/>
    <w:rsid w:val="0006092A"/>
    <w:rsid w:val="00061F2D"/>
    <w:rsid w:val="000663BD"/>
    <w:rsid w:val="000914D3"/>
    <w:rsid w:val="000928D5"/>
    <w:rsid w:val="000A58FD"/>
    <w:rsid w:val="000A7751"/>
    <w:rsid w:val="000B1101"/>
    <w:rsid w:val="000C4075"/>
    <w:rsid w:val="000E2489"/>
    <w:rsid w:val="000F31BE"/>
    <w:rsid w:val="00110CF4"/>
    <w:rsid w:val="00111039"/>
    <w:rsid w:val="00114E9C"/>
    <w:rsid w:val="001158D9"/>
    <w:rsid w:val="0011746D"/>
    <w:rsid w:val="00131612"/>
    <w:rsid w:val="00134EF8"/>
    <w:rsid w:val="00137C26"/>
    <w:rsid w:val="00140433"/>
    <w:rsid w:val="00142125"/>
    <w:rsid w:val="001502A3"/>
    <w:rsid w:val="001522E6"/>
    <w:rsid w:val="00153E3C"/>
    <w:rsid w:val="00155E4B"/>
    <w:rsid w:val="00157754"/>
    <w:rsid w:val="00161CDF"/>
    <w:rsid w:val="00165648"/>
    <w:rsid w:val="001657D1"/>
    <w:rsid w:val="00165BD1"/>
    <w:rsid w:val="00173B26"/>
    <w:rsid w:val="00183F7C"/>
    <w:rsid w:val="001A2A9B"/>
    <w:rsid w:val="001A5E68"/>
    <w:rsid w:val="001D1AA4"/>
    <w:rsid w:val="001D39A5"/>
    <w:rsid w:val="001E3DE9"/>
    <w:rsid w:val="001E3FCE"/>
    <w:rsid w:val="001F0070"/>
    <w:rsid w:val="001F29B6"/>
    <w:rsid w:val="001F2BCA"/>
    <w:rsid w:val="00200027"/>
    <w:rsid w:val="00206287"/>
    <w:rsid w:val="002121AA"/>
    <w:rsid w:val="00212908"/>
    <w:rsid w:val="00213E83"/>
    <w:rsid w:val="00214F92"/>
    <w:rsid w:val="00215A6E"/>
    <w:rsid w:val="002208D2"/>
    <w:rsid w:val="002221F0"/>
    <w:rsid w:val="00225897"/>
    <w:rsid w:val="002352F8"/>
    <w:rsid w:val="00240B0A"/>
    <w:rsid w:val="00247A59"/>
    <w:rsid w:val="002525AD"/>
    <w:rsid w:val="002631B9"/>
    <w:rsid w:val="0026610A"/>
    <w:rsid w:val="00272A49"/>
    <w:rsid w:val="002731F2"/>
    <w:rsid w:val="00281AA7"/>
    <w:rsid w:val="00292B46"/>
    <w:rsid w:val="00294368"/>
    <w:rsid w:val="0029506F"/>
    <w:rsid w:val="002A058B"/>
    <w:rsid w:val="002A2DDF"/>
    <w:rsid w:val="002A7852"/>
    <w:rsid w:val="002A797E"/>
    <w:rsid w:val="002B002E"/>
    <w:rsid w:val="002B0607"/>
    <w:rsid w:val="002B337A"/>
    <w:rsid w:val="002B35E5"/>
    <w:rsid w:val="002C0A0C"/>
    <w:rsid w:val="002C2CAB"/>
    <w:rsid w:val="002C38A0"/>
    <w:rsid w:val="002D14D9"/>
    <w:rsid w:val="002D6F9D"/>
    <w:rsid w:val="002E1ED7"/>
    <w:rsid w:val="002E3756"/>
    <w:rsid w:val="002E605A"/>
    <w:rsid w:val="002F2A65"/>
    <w:rsid w:val="002F383F"/>
    <w:rsid w:val="002F7B61"/>
    <w:rsid w:val="00300A30"/>
    <w:rsid w:val="00305481"/>
    <w:rsid w:val="00315189"/>
    <w:rsid w:val="003219F5"/>
    <w:rsid w:val="003225CD"/>
    <w:rsid w:val="00327D74"/>
    <w:rsid w:val="00331B88"/>
    <w:rsid w:val="00335890"/>
    <w:rsid w:val="003363B8"/>
    <w:rsid w:val="003421F3"/>
    <w:rsid w:val="00342FD4"/>
    <w:rsid w:val="00346544"/>
    <w:rsid w:val="003467A6"/>
    <w:rsid w:val="00346BC2"/>
    <w:rsid w:val="003474BE"/>
    <w:rsid w:val="003503A4"/>
    <w:rsid w:val="003529F7"/>
    <w:rsid w:val="003531DD"/>
    <w:rsid w:val="00361C26"/>
    <w:rsid w:val="00363670"/>
    <w:rsid w:val="003827B3"/>
    <w:rsid w:val="003958B1"/>
    <w:rsid w:val="003A1E41"/>
    <w:rsid w:val="003B4B40"/>
    <w:rsid w:val="003D3A2A"/>
    <w:rsid w:val="003F36E2"/>
    <w:rsid w:val="00407623"/>
    <w:rsid w:val="00417D63"/>
    <w:rsid w:val="00421DCC"/>
    <w:rsid w:val="0043662A"/>
    <w:rsid w:val="0044795F"/>
    <w:rsid w:val="0045126B"/>
    <w:rsid w:val="00460ABF"/>
    <w:rsid w:val="004639F1"/>
    <w:rsid w:val="00464B42"/>
    <w:rsid w:val="00480268"/>
    <w:rsid w:val="00485014"/>
    <w:rsid w:val="0048594C"/>
    <w:rsid w:val="00485AE7"/>
    <w:rsid w:val="0049491E"/>
    <w:rsid w:val="00497CC1"/>
    <w:rsid w:val="004B0B2E"/>
    <w:rsid w:val="004B633C"/>
    <w:rsid w:val="004C376A"/>
    <w:rsid w:val="004D08F3"/>
    <w:rsid w:val="004D1013"/>
    <w:rsid w:val="004D7E99"/>
    <w:rsid w:val="004E20DA"/>
    <w:rsid w:val="004E3E64"/>
    <w:rsid w:val="004E596A"/>
    <w:rsid w:val="004E6839"/>
    <w:rsid w:val="004F08FF"/>
    <w:rsid w:val="004F497C"/>
    <w:rsid w:val="004F6FD7"/>
    <w:rsid w:val="005037BE"/>
    <w:rsid w:val="00506D7B"/>
    <w:rsid w:val="00507F27"/>
    <w:rsid w:val="00512E66"/>
    <w:rsid w:val="00514030"/>
    <w:rsid w:val="00516899"/>
    <w:rsid w:val="00520CAC"/>
    <w:rsid w:val="0052583C"/>
    <w:rsid w:val="00526857"/>
    <w:rsid w:val="0053301A"/>
    <w:rsid w:val="00543404"/>
    <w:rsid w:val="00546BB5"/>
    <w:rsid w:val="00547099"/>
    <w:rsid w:val="00552C0B"/>
    <w:rsid w:val="00556A17"/>
    <w:rsid w:val="00557993"/>
    <w:rsid w:val="00560489"/>
    <w:rsid w:val="0057204E"/>
    <w:rsid w:val="00577DB5"/>
    <w:rsid w:val="00582217"/>
    <w:rsid w:val="0058221D"/>
    <w:rsid w:val="00590648"/>
    <w:rsid w:val="005910C7"/>
    <w:rsid w:val="005A369E"/>
    <w:rsid w:val="005A5CE3"/>
    <w:rsid w:val="005C3291"/>
    <w:rsid w:val="005C3676"/>
    <w:rsid w:val="005C5C73"/>
    <w:rsid w:val="005D2B57"/>
    <w:rsid w:val="005D4ED2"/>
    <w:rsid w:val="005D7AFC"/>
    <w:rsid w:val="005E07F3"/>
    <w:rsid w:val="005F0A65"/>
    <w:rsid w:val="005F402A"/>
    <w:rsid w:val="00604CD5"/>
    <w:rsid w:val="00623795"/>
    <w:rsid w:val="00630E40"/>
    <w:rsid w:val="00633B95"/>
    <w:rsid w:val="00641BCE"/>
    <w:rsid w:val="00651E25"/>
    <w:rsid w:val="00654601"/>
    <w:rsid w:val="006673E2"/>
    <w:rsid w:val="006710EE"/>
    <w:rsid w:val="00675E65"/>
    <w:rsid w:val="00687951"/>
    <w:rsid w:val="006902E4"/>
    <w:rsid w:val="0069645C"/>
    <w:rsid w:val="006A21D7"/>
    <w:rsid w:val="006A53B2"/>
    <w:rsid w:val="006A546D"/>
    <w:rsid w:val="006A7055"/>
    <w:rsid w:val="006B17C9"/>
    <w:rsid w:val="006B31AF"/>
    <w:rsid w:val="006B740D"/>
    <w:rsid w:val="006C084D"/>
    <w:rsid w:val="006C310C"/>
    <w:rsid w:val="006C6A0C"/>
    <w:rsid w:val="006D7E35"/>
    <w:rsid w:val="006E7B06"/>
    <w:rsid w:val="006F56EF"/>
    <w:rsid w:val="006F6997"/>
    <w:rsid w:val="007020A1"/>
    <w:rsid w:val="0070377B"/>
    <w:rsid w:val="007153C7"/>
    <w:rsid w:val="007153DC"/>
    <w:rsid w:val="00731B00"/>
    <w:rsid w:val="00746BCE"/>
    <w:rsid w:val="00750D36"/>
    <w:rsid w:val="00765239"/>
    <w:rsid w:val="00783059"/>
    <w:rsid w:val="007838BC"/>
    <w:rsid w:val="007920D5"/>
    <w:rsid w:val="0079371A"/>
    <w:rsid w:val="007A15DE"/>
    <w:rsid w:val="007A2179"/>
    <w:rsid w:val="007A70EE"/>
    <w:rsid w:val="007B4D47"/>
    <w:rsid w:val="007B5527"/>
    <w:rsid w:val="007C5334"/>
    <w:rsid w:val="007C760E"/>
    <w:rsid w:val="007D2528"/>
    <w:rsid w:val="007D2DE3"/>
    <w:rsid w:val="007E5809"/>
    <w:rsid w:val="007E5D4A"/>
    <w:rsid w:val="007E7D13"/>
    <w:rsid w:val="007F4279"/>
    <w:rsid w:val="007F459C"/>
    <w:rsid w:val="007F7864"/>
    <w:rsid w:val="00814609"/>
    <w:rsid w:val="00815A5A"/>
    <w:rsid w:val="00823037"/>
    <w:rsid w:val="00824324"/>
    <w:rsid w:val="00826EC3"/>
    <w:rsid w:val="0082790A"/>
    <w:rsid w:val="00830302"/>
    <w:rsid w:val="008345C0"/>
    <w:rsid w:val="00836AB7"/>
    <w:rsid w:val="00836ED5"/>
    <w:rsid w:val="00836F81"/>
    <w:rsid w:val="00840FDE"/>
    <w:rsid w:val="00847718"/>
    <w:rsid w:val="008533FD"/>
    <w:rsid w:val="00855634"/>
    <w:rsid w:val="00860EBC"/>
    <w:rsid w:val="00883EC4"/>
    <w:rsid w:val="008A76C7"/>
    <w:rsid w:val="008B5CA8"/>
    <w:rsid w:val="008D3F62"/>
    <w:rsid w:val="008D4F16"/>
    <w:rsid w:val="008F175B"/>
    <w:rsid w:val="009018BF"/>
    <w:rsid w:val="0090468F"/>
    <w:rsid w:val="00904772"/>
    <w:rsid w:val="00914994"/>
    <w:rsid w:val="009237FC"/>
    <w:rsid w:val="009259EF"/>
    <w:rsid w:val="00927709"/>
    <w:rsid w:val="00937D59"/>
    <w:rsid w:val="00940277"/>
    <w:rsid w:val="00955F91"/>
    <w:rsid w:val="009576A2"/>
    <w:rsid w:val="00960A37"/>
    <w:rsid w:val="00963F6E"/>
    <w:rsid w:val="00965B37"/>
    <w:rsid w:val="00966CA2"/>
    <w:rsid w:val="00985D5A"/>
    <w:rsid w:val="009963D4"/>
    <w:rsid w:val="009964A2"/>
    <w:rsid w:val="009A194C"/>
    <w:rsid w:val="009A7A08"/>
    <w:rsid w:val="009B1237"/>
    <w:rsid w:val="009C2AEB"/>
    <w:rsid w:val="009C5D66"/>
    <w:rsid w:val="009D1091"/>
    <w:rsid w:val="009E0446"/>
    <w:rsid w:val="009F048B"/>
    <w:rsid w:val="009F69FD"/>
    <w:rsid w:val="00A03530"/>
    <w:rsid w:val="00A05801"/>
    <w:rsid w:val="00A06823"/>
    <w:rsid w:val="00A103E4"/>
    <w:rsid w:val="00A11E47"/>
    <w:rsid w:val="00A12E35"/>
    <w:rsid w:val="00A26059"/>
    <w:rsid w:val="00A35639"/>
    <w:rsid w:val="00A61CB5"/>
    <w:rsid w:val="00A70AB0"/>
    <w:rsid w:val="00A90D35"/>
    <w:rsid w:val="00A94D9A"/>
    <w:rsid w:val="00A95C41"/>
    <w:rsid w:val="00AB3945"/>
    <w:rsid w:val="00AC7F90"/>
    <w:rsid w:val="00AD2D99"/>
    <w:rsid w:val="00AD436E"/>
    <w:rsid w:val="00AE67ED"/>
    <w:rsid w:val="00AF4D38"/>
    <w:rsid w:val="00AF55F5"/>
    <w:rsid w:val="00B07931"/>
    <w:rsid w:val="00B17E3D"/>
    <w:rsid w:val="00B239B4"/>
    <w:rsid w:val="00B2410E"/>
    <w:rsid w:val="00B252AF"/>
    <w:rsid w:val="00B25848"/>
    <w:rsid w:val="00B30253"/>
    <w:rsid w:val="00B33C4D"/>
    <w:rsid w:val="00B35A35"/>
    <w:rsid w:val="00B416A6"/>
    <w:rsid w:val="00B45FEA"/>
    <w:rsid w:val="00B46737"/>
    <w:rsid w:val="00B50800"/>
    <w:rsid w:val="00B51A98"/>
    <w:rsid w:val="00B51B8C"/>
    <w:rsid w:val="00B53818"/>
    <w:rsid w:val="00B614F3"/>
    <w:rsid w:val="00B621E0"/>
    <w:rsid w:val="00B66EB3"/>
    <w:rsid w:val="00B84D66"/>
    <w:rsid w:val="00B87167"/>
    <w:rsid w:val="00B872D1"/>
    <w:rsid w:val="00B90AA7"/>
    <w:rsid w:val="00B9108F"/>
    <w:rsid w:val="00B9704F"/>
    <w:rsid w:val="00BA4DC9"/>
    <w:rsid w:val="00BA770B"/>
    <w:rsid w:val="00BB5A06"/>
    <w:rsid w:val="00BB6F31"/>
    <w:rsid w:val="00BC36C9"/>
    <w:rsid w:val="00BD7561"/>
    <w:rsid w:val="00BD76B6"/>
    <w:rsid w:val="00BE366F"/>
    <w:rsid w:val="00BE5086"/>
    <w:rsid w:val="00BF0604"/>
    <w:rsid w:val="00C10596"/>
    <w:rsid w:val="00C115A7"/>
    <w:rsid w:val="00C13EDC"/>
    <w:rsid w:val="00C15807"/>
    <w:rsid w:val="00C16BBA"/>
    <w:rsid w:val="00C20E0F"/>
    <w:rsid w:val="00C232C4"/>
    <w:rsid w:val="00C26721"/>
    <w:rsid w:val="00C31CE2"/>
    <w:rsid w:val="00C327B3"/>
    <w:rsid w:val="00C33302"/>
    <w:rsid w:val="00C37B05"/>
    <w:rsid w:val="00C42C04"/>
    <w:rsid w:val="00C46313"/>
    <w:rsid w:val="00C469A8"/>
    <w:rsid w:val="00C50292"/>
    <w:rsid w:val="00C608FF"/>
    <w:rsid w:val="00C620CE"/>
    <w:rsid w:val="00C73946"/>
    <w:rsid w:val="00C7569D"/>
    <w:rsid w:val="00C8013A"/>
    <w:rsid w:val="00C855D5"/>
    <w:rsid w:val="00C86ED2"/>
    <w:rsid w:val="00C933C9"/>
    <w:rsid w:val="00C97DFA"/>
    <w:rsid w:val="00CA4A21"/>
    <w:rsid w:val="00CA644D"/>
    <w:rsid w:val="00CA686D"/>
    <w:rsid w:val="00CB2709"/>
    <w:rsid w:val="00CB7CBD"/>
    <w:rsid w:val="00CC1544"/>
    <w:rsid w:val="00CC2322"/>
    <w:rsid w:val="00CC610C"/>
    <w:rsid w:val="00CD2BAE"/>
    <w:rsid w:val="00CD35EE"/>
    <w:rsid w:val="00CD4558"/>
    <w:rsid w:val="00CE4891"/>
    <w:rsid w:val="00CF2B93"/>
    <w:rsid w:val="00CF2EF2"/>
    <w:rsid w:val="00CF4CDF"/>
    <w:rsid w:val="00CF6CAD"/>
    <w:rsid w:val="00D04679"/>
    <w:rsid w:val="00D13C8A"/>
    <w:rsid w:val="00D2060F"/>
    <w:rsid w:val="00D304A5"/>
    <w:rsid w:val="00D34EF7"/>
    <w:rsid w:val="00D4126C"/>
    <w:rsid w:val="00D42A84"/>
    <w:rsid w:val="00D44ED8"/>
    <w:rsid w:val="00D5237C"/>
    <w:rsid w:val="00D542F7"/>
    <w:rsid w:val="00D54B4A"/>
    <w:rsid w:val="00D5644B"/>
    <w:rsid w:val="00D617C9"/>
    <w:rsid w:val="00D61C6E"/>
    <w:rsid w:val="00D645EE"/>
    <w:rsid w:val="00D6498A"/>
    <w:rsid w:val="00D70F35"/>
    <w:rsid w:val="00D71D14"/>
    <w:rsid w:val="00D73719"/>
    <w:rsid w:val="00D7491E"/>
    <w:rsid w:val="00D8325B"/>
    <w:rsid w:val="00D90AD1"/>
    <w:rsid w:val="00D91264"/>
    <w:rsid w:val="00D92969"/>
    <w:rsid w:val="00DA3A03"/>
    <w:rsid w:val="00DB3B20"/>
    <w:rsid w:val="00DB4435"/>
    <w:rsid w:val="00DE224E"/>
    <w:rsid w:val="00DF05E8"/>
    <w:rsid w:val="00DF1740"/>
    <w:rsid w:val="00E06789"/>
    <w:rsid w:val="00E10196"/>
    <w:rsid w:val="00E22066"/>
    <w:rsid w:val="00E2529F"/>
    <w:rsid w:val="00E32313"/>
    <w:rsid w:val="00E34BBF"/>
    <w:rsid w:val="00E406CB"/>
    <w:rsid w:val="00E440EF"/>
    <w:rsid w:val="00E5337C"/>
    <w:rsid w:val="00E72FDF"/>
    <w:rsid w:val="00E73115"/>
    <w:rsid w:val="00E8615A"/>
    <w:rsid w:val="00E91885"/>
    <w:rsid w:val="00E91FCE"/>
    <w:rsid w:val="00E94B8C"/>
    <w:rsid w:val="00E95350"/>
    <w:rsid w:val="00E965E8"/>
    <w:rsid w:val="00E97681"/>
    <w:rsid w:val="00EA28B8"/>
    <w:rsid w:val="00EB3BED"/>
    <w:rsid w:val="00EB6E3B"/>
    <w:rsid w:val="00EC2A13"/>
    <w:rsid w:val="00EC2E1D"/>
    <w:rsid w:val="00EC4F18"/>
    <w:rsid w:val="00ED03C4"/>
    <w:rsid w:val="00EE10B5"/>
    <w:rsid w:val="00EE47A7"/>
    <w:rsid w:val="00EE4E1E"/>
    <w:rsid w:val="00EE77FA"/>
    <w:rsid w:val="00EF70B9"/>
    <w:rsid w:val="00EF744C"/>
    <w:rsid w:val="00F01256"/>
    <w:rsid w:val="00F04AF2"/>
    <w:rsid w:val="00F230B5"/>
    <w:rsid w:val="00F263DD"/>
    <w:rsid w:val="00F26B55"/>
    <w:rsid w:val="00F533EA"/>
    <w:rsid w:val="00F544B4"/>
    <w:rsid w:val="00F574D4"/>
    <w:rsid w:val="00F63874"/>
    <w:rsid w:val="00F6572D"/>
    <w:rsid w:val="00F744AF"/>
    <w:rsid w:val="00F86945"/>
    <w:rsid w:val="00FA3990"/>
    <w:rsid w:val="00FA7447"/>
    <w:rsid w:val="00FC13EC"/>
    <w:rsid w:val="00FC59B6"/>
    <w:rsid w:val="00FD0D7E"/>
    <w:rsid w:val="00FD28FA"/>
    <w:rsid w:val="00FD2EE1"/>
    <w:rsid w:val="00FD69BA"/>
    <w:rsid w:val="00FD7D35"/>
    <w:rsid w:val="00FE10A7"/>
    <w:rsid w:val="00FE4A00"/>
    <w:rsid w:val="00FE645E"/>
    <w:rsid w:val="00FE6E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DCD692D"/>
  <w15:docId w15:val="{8226C2BE-8383-4140-B128-4A45E37ED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6F56E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3225CD"/>
    <w:pPr>
      <w:ind w:left="720"/>
      <w:contextualSpacing/>
    </w:pPr>
  </w:style>
  <w:style w:type="character" w:styleId="Hyperlink">
    <w:name w:val="Hyperlink"/>
    <w:basedOn w:val="DefaultParagraphFont"/>
    <w:uiPriority w:val="99"/>
    <w:unhideWhenUsed/>
    <w:rsid w:val="003225CD"/>
    <w:rPr>
      <w:color w:val="0563C1" w:themeColor="hyperlink"/>
      <w:u w:val="single"/>
    </w:rPr>
  </w:style>
  <w:style w:type="paragraph" w:styleId="Header">
    <w:name w:val="header"/>
    <w:basedOn w:val="Normal"/>
    <w:link w:val="HeaderChar"/>
    <w:uiPriority w:val="99"/>
    <w:unhideWhenUsed/>
    <w:rsid w:val="003225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25CD"/>
  </w:style>
  <w:style w:type="paragraph" w:styleId="Footer">
    <w:name w:val="footer"/>
    <w:basedOn w:val="Normal"/>
    <w:link w:val="FooterChar"/>
    <w:uiPriority w:val="99"/>
    <w:unhideWhenUsed/>
    <w:rsid w:val="003225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25CD"/>
  </w:style>
  <w:style w:type="paragraph" w:styleId="FootnoteText">
    <w:name w:val="footnote text"/>
    <w:basedOn w:val="Normal"/>
    <w:link w:val="FootnoteTextChar"/>
    <w:uiPriority w:val="99"/>
    <w:semiHidden/>
    <w:unhideWhenUsed/>
    <w:rsid w:val="007C533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C5334"/>
    <w:rPr>
      <w:sz w:val="20"/>
      <w:szCs w:val="20"/>
    </w:rPr>
  </w:style>
  <w:style w:type="character" w:styleId="FootnoteReference">
    <w:name w:val="footnote reference"/>
    <w:basedOn w:val="DefaultParagraphFont"/>
    <w:uiPriority w:val="99"/>
    <w:semiHidden/>
    <w:unhideWhenUsed/>
    <w:rsid w:val="007C5334"/>
    <w:rPr>
      <w:vertAlign w:val="superscript"/>
    </w:rPr>
  </w:style>
  <w:style w:type="paragraph" w:styleId="BalloonText">
    <w:name w:val="Balloon Text"/>
    <w:basedOn w:val="Normal"/>
    <w:link w:val="BalloonTextChar"/>
    <w:uiPriority w:val="99"/>
    <w:semiHidden/>
    <w:unhideWhenUsed/>
    <w:rsid w:val="00FA744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A7447"/>
    <w:rPr>
      <w:rFonts w:ascii="Segoe UI" w:hAnsi="Segoe UI" w:cs="Segoe UI"/>
      <w:sz w:val="18"/>
      <w:szCs w:val="18"/>
    </w:rPr>
  </w:style>
  <w:style w:type="table" w:styleId="TableGrid">
    <w:name w:val="Table Grid"/>
    <w:basedOn w:val="TableNormal"/>
    <w:uiPriority w:val="39"/>
    <w:rsid w:val="00EC4F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ticleTitle">
    <w:name w:val="Article Title"/>
    <w:basedOn w:val="Normal"/>
    <w:link w:val="ArticleTitleChar"/>
    <w:qFormat/>
    <w:rsid w:val="00D5644B"/>
    <w:pPr>
      <w:spacing w:after="400" w:line="240" w:lineRule="auto"/>
      <w:jc w:val="center"/>
    </w:pPr>
    <w:rPr>
      <w:rFonts w:ascii="Book Antiqua" w:hAnsi="Book Antiqua"/>
      <w:sz w:val="44"/>
      <w:szCs w:val="44"/>
    </w:rPr>
  </w:style>
  <w:style w:type="paragraph" w:customStyle="1" w:styleId="byline">
    <w:name w:val="byline"/>
    <w:basedOn w:val="Normal"/>
    <w:link w:val="bylineChar"/>
    <w:rsid w:val="00966CA2"/>
    <w:pPr>
      <w:spacing w:after="360"/>
      <w:jc w:val="center"/>
    </w:pPr>
    <w:rPr>
      <w:rFonts w:ascii="Palatino Linotype" w:hAnsi="Palatino Linotype"/>
      <w:i/>
      <w:smallCaps/>
      <w:sz w:val="24"/>
      <w:szCs w:val="24"/>
    </w:rPr>
  </w:style>
  <w:style w:type="character" w:customStyle="1" w:styleId="ArticleTitleChar">
    <w:name w:val="Article Title Char"/>
    <w:basedOn w:val="DefaultParagraphFont"/>
    <w:link w:val="ArticleTitle"/>
    <w:rsid w:val="00D5644B"/>
    <w:rPr>
      <w:rFonts w:ascii="Book Antiqua" w:hAnsi="Book Antiqua"/>
      <w:sz w:val="44"/>
      <w:szCs w:val="44"/>
    </w:rPr>
  </w:style>
  <w:style w:type="paragraph" w:customStyle="1" w:styleId="Author">
    <w:name w:val="Author"/>
    <w:basedOn w:val="Normal"/>
    <w:link w:val="AuthorChar"/>
    <w:qFormat/>
    <w:rsid w:val="00D5644B"/>
    <w:pPr>
      <w:spacing w:after="360"/>
      <w:jc w:val="center"/>
    </w:pPr>
    <w:rPr>
      <w:rFonts w:ascii="Book Antiqua" w:hAnsi="Book Antiqua"/>
      <w:smallCaps/>
      <w:szCs w:val="24"/>
    </w:rPr>
  </w:style>
  <w:style w:type="character" w:customStyle="1" w:styleId="bylineChar">
    <w:name w:val="byline Char"/>
    <w:basedOn w:val="DefaultParagraphFont"/>
    <w:link w:val="byline"/>
    <w:rsid w:val="00966CA2"/>
    <w:rPr>
      <w:rFonts w:ascii="Palatino Linotype" w:hAnsi="Palatino Linotype"/>
      <w:i/>
      <w:smallCaps/>
      <w:sz w:val="24"/>
      <w:szCs w:val="24"/>
    </w:rPr>
  </w:style>
  <w:style w:type="paragraph" w:customStyle="1" w:styleId="Computercode-firstline">
    <w:name w:val="Computer code - first line"/>
    <w:basedOn w:val="ParagraphText"/>
    <w:rsid w:val="00485AE7"/>
    <w:pPr>
      <w:spacing w:before="120"/>
      <w:ind w:left="288" w:firstLine="0"/>
      <w:jc w:val="left"/>
    </w:pPr>
    <w:rPr>
      <w:rFonts w:ascii="Courier New" w:hAnsi="Courier New"/>
      <w:sz w:val="16"/>
      <w:szCs w:val="16"/>
    </w:rPr>
  </w:style>
  <w:style w:type="character" w:customStyle="1" w:styleId="AuthorChar">
    <w:name w:val="Author Char"/>
    <w:basedOn w:val="DefaultParagraphFont"/>
    <w:link w:val="Author"/>
    <w:rsid w:val="00D5644B"/>
    <w:rPr>
      <w:rFonts w:ascii="Book Antiqua" w:hAnsi="Book Antiqua"/>
      <w:smallCaps/>
      <w:szCs w:val="24"/>
    </w:rPr>
  </w:style>
  <w:style w:type="paragraph" w:customStyle="1" w:styleId="Computercode-lastline">
    <w:name w:val="Computer code - last line"/>
    <w:basedOn w:val="ParagraphText"/>
    <w:rsid w:val="00B53818"/>
    <w:pPr>
      <w:spacing w:after="120"/>
      <w:ind w:left="288" w:firstLine="0"/>
      <w:jc w:val="left"/>
    </w:pPr>
    <w:rPr>
      <w:rFonts w:ascii="Courier New" w:hAnsi="Courier New"/>
      <w:sz w:val="16"/>
      <w:szCs w:val="16"/>
    </w:rPr>
  </w:style>
  <w:style w:type="paragraph" w:customStyle="1" w:styleId="Computercode-middlelines">
    <w:name w:val="Computer code - middle lines"/>
    <w:basedOn w:val="ParagraphText"/>
    <w:rsid w:val="00B53818"/>
    <w:pPr>
      <w:ind w:left="288" w:firstLine="0"/>
      <w:jc w:val="left"/>
    </w:pPr>
    <w:rPr>
      <w:rFonts w:ascii="Courier New" w:hAnsi="Courier New"/>
      <w:sz w:val="16"/>
      <w:szCs w:val="16"/>
    </w:rPr>
  </w:style>
  <w:style w:type="paragraph" w:customStyle="1" w:styleId="Abstract">
    <w:name w:val="Abstract"/>
    <w:basedOn w:val="Normal"/>
    <w:link w:val="AbstractChar"/>
    <w:qFormat/>
    <w:rsid w:val="00D5644B"/>
    <w:pPr>
      <w:spacing w:after="240" w:line="240" w:lineRule="auto"/>
      <w:ind w:left="288" w:right="288"/>
      <w:jc w:val="both"/>
    </w:pPr>
    <w:rPr>
      <w:rFonts w:ascii="Book Antiqua" w:hAnsi="Book Antiqua"/>
      <w:i/>
      <w:szCs w:val="24"/>
    </w:rPr>
  </w:style>
  <w:style w:type="paragraph" w:customStyle="1" w:styleId="JELandKeywords">
    <w:name w:val="JEL and Keywords"/>
    <w:basedOn w:val="Normal"/>
    <w:link w:val="JELandKeywordsChar"/>
    <w:qFormat/>
    <w:rsid w:val="00D5644B"/>
    <w:pPr>
      <w:spacing w:after="240" w:line="240" w:lineRule="auto"/>
      <w:ind w:left="288" w:right="288"/>
      <w:jc w:val="both"/>
    </w:pPr>
    <w:rPr>
      <w:rFonts w:ascii="Book Antiqua" w:hAnsi="Book Antiqua"/>
      <w:sz w:val="20"/>
    </w:rPr>
  </w:style>
  <w:style w:type="character" w:customStyle="1" w:styleId="AbstractChar">
    <w:name w:val="Abstract Char"/>
    <w:basedOn w:val="DefaultParagraphFont"/>
    <w:link w:val="Abstract"/>
    <w:rsid w:val="00D5644B"/>
    <w:rPr>
      <w:rFonts w:ascii="Book Antiqua" w:hAnsi="Book Antiqua"/>
      <w:i/>
      <w:szCs w:val="24"/>
    </w:rPr>
  </w:style>
  <w:style w:type="paragraph" w:customStyle="1" w:styleId="Keywords">
    <w:name w:val="Keywords"/>
    <w:basedOn w:val="Normal"/>
    <w:link w:val="KeywordsChar"/>
    <w:rsid w:val="00966CA2"/>
    <w:pPr>
      <w:spacing w:after="240" w:line="240" w:lineRule="auto"/>
      <w:ind w:left="288" w:right="288"/>
      <w:jc w:val="both"/>
    </w:pPr>
    <w:rPr>
      <w:rFonts w:ascii="Garamond" w:hAnsi="Garamond"/>
    </w:rPr>
  </w:style>
  <w:style w:type="character" w:customStyle="1" w:styleId="JELandKeywordsChar">
    <w:name w:val="JEL and Keywords Char"/>
    <w:basedOn w:val="DefaultParagraphFont"/>
    <w:link w:val="JELandKeywords"/>
    <w:rsid w:val="00D5644B"/>
    <w:rPr>
      <w:rFonts w:ascii="Book Antiqua" w:hAnsi="Book Antiqua"/>
      <w:sz w:val="20"/>
    </w:rPr>
  </w:style>
  <w:style w:type="paragraph" w:customStyle="1" w:styleId="FirstLevelHeading">
    <w:name w:val="First Level Heading"/>
    <w:basedOn w:val="Normal"/>
    <w:link w:val="FirstLevelHeadingChar"/>
    <w:qFormat/>
    <w:rsid w:val="00D5644B"/>
    <w:pPr>
      <w:spacing w:before="240" w:after="120" w:line="240" w:lineRule="auto"/>
      <w:jc w:val="both"/>
    </w:pPr>
    <w:rPr>
      <w:rFonts w:ascii="Book Antiqua" w:hAnsi="Book Antiqua"/>
      <w:b/>
      <w:szCs w:val="24"/>
    </w:rPr>
  </w:style>
  <w:style w:type="character" w:customStyle="1" w:styleId="KeywordsChar">
    <w:name w:val="Keywords Char"/>
    <w:basedOn w:val="DefaultParagraphFont"/>
    <w:link w:val="Keywords"/>
    <w:rsid w:val="00966CA2"/>
    <w:rPr>
      <w:rFonts w:ascii="Garamond" w:hAnsi="Garamond"/>
    </w:rPr>
  </w:style>
  <w:style w:type="paragraph" w:customStyle="1" w:styleId="ParagraphText">
    <w:name w:val="Paragraph Text"/>
    <w:basedOn w:val="Normal"/>
    <w:link w:val="ParagraphTextChar"/>
    <w:qFormat/>
    <w:rsid w:val="00D5644B"/>
    <w:pPr>
      <w:spacing w:after="0" w:line="240" w:lineRule="auto"/>
      <w:ind w:firstLine="288"/>
      <w:jc w:val="both"/>
    </w:pPr>
    <w:rPr>
      <w:rFonts w:ascii="Book Antiqua" w:hAnsi="Book Antiqua"/>
      <w:szCs w:val="24"/>
    </w:rPr>
  </w:style>
  <w:style w:type="character" w:customStyle="1" w:styleId="FirstLevelHeadingChar">
    <w:name w:val="First Level Heading Char"/>
    <w:basedOn w:val="DefaultParagraphFont"/>
    <w:link w:val="FirstLevelHeading"/>
    <w:rsid w:val="00D5644B"/>
    <w:rPr>
      <w:rFonts w:ascii="Book Antiqua" w:hAnsi="Book Antiqua"/>
      <w:b/>
      <w:szCs w:val="24"/>
    </w:rPr>
  </w:style>
  <w:style w:type="paragraph" w:customStyle="1" w:styleId="SecondLevelHeading">
    <w:name w:val="Second Level Heading"/>
    <w:basedOn w:val="Normal"/>
    <w:link w:val="SecondLevelHeadingChar"/>
    <w:qFormat/>
    <w:rsid w:val="00D5644B"/>
    <w:pPr>
      <w:spacing w:before="120" w:after="120" w:line="240" w:lineRule="auto"/>
      <w:jc w:val="both"/>
    </w:pPr>
    <w:rPr>
      <w:rFonts w:ascii="Book Antiqua" w:hAnsi="Book Antiqua"/>
      <w:i/>
      <w:szCs w:val="24"/>
    </w:rPr>
  </w:style>
  <w:style w:type="character" w:customStyle="1" w:styleId="ParagraphTextChar">
    <w:name w:val="Paragraph Text Char"/>
    <w:basedOn w:val="DefaultParagraphFont"/>
    <w:link w:val="ParagraphText"/>
    <w:rsid w:val="00D5644B"/>
    <w:rPr>
      <w:rFonts w:ascii="Book Antiqua" w:hAnsi="Book Antiqua"/>
      <w:szCs w:val="24"/>
    </w:rPr>
  </w:style>
  <w:style w:type="paragraph" w:customStyle="1" w:styleId="ThirdLevelHeading">
    <w:name w:val="Third Level Heading"/>
    <w:basedOn w:val="Normal"/>
    <w:link w:val="ThirdLevelHeadingChar"/>
    <w:qFormat/>
    <w:rsid w:val="00D5644B"/>
    <w:pPr>
      <w:spacing w:before="120" w:after="120" w:line="240" w:lineRule="auto"/>
      <w:jc w:val="both"/>
    </w:pPr>
    <w:rPr>
      <w:rFonts w:ascii="Book Antiqua" w:hAnsi="Book Antiqua"/>
      <w:szCs w:val="24"/>
    </w:rPr>
  </w:style>
  <w:style w:type="character" w:customStyle="1" w:styleId="SecondLevelHeadingChar">
    <w:name w:val="Second Level Heading Char"/>
    <w:basedOn w:val="DefaultParagraphFont"/>
    <w:link w:val="SecondLevelHeading"/>
    <w:rsid w:val="00D5644B"/>
    <w:rPr>
      <w:rFonts w:ascii="Book Antiqua" w:hAnsi="Book Antiqua"/>
      <w:i/>
      <w:szCs w:val="24"/>
    </w:rPr>
  </w:style>
  <w:style w:type="paragraph" w:customStyle="1" w:styleId="Footnote">
    <w:name w:val="Footnote"/>
    <w:basedOn w:val="FootnoteText"/>
    <w:link w:val="FootnoteChar"/>
    <w:qFormat/>
    <w:rsid w:val="00D5644B"/>
    <w:pPr>
      <w:jc w:val="both"/>
    </w:pPr>
    <w:rPr>
      <w:rFonts w:ascii="Book Antiqua" w:hAnsi="Book Antiqua"/>
    </w:rPr>
  </w:style>
  <w:style w:type="character" w:customStyle="1" w:styleId="ThirdLevelHeadingChar">
    <w:name w:val="Third Level Heading Char"/>
    <w:basedOn w:val="DefaultParagraphFont"/>
    <w:link w:val="ThirdLevelHeading"/>
    <w:rsid w:val="00D5644B"/>
    <w:rPr>
      <w:rFonts w:ascii="Book Antiqua" w:hAnsi="Book Antiqua"/>
      <w:szCs w:val="24"/>
    </w:rPr>
  </w:style>
  <w:style w:type="character" w:customStyle="1" w:styleId="FootnoteChar">
    <w:name w:val="Footnote Char"/>
    <w:basedOn w:val="FootnoteTextChar"/>
    <w:link w:val="Footnote"/>
    <w:rsid w:val="00D5644B"/>
    <w:rPr>
      <w:rFonts w:ascii="Book Antiqua" w:hAnsi="Book Antiqua"/>
      <w:sz w:val="20"/>
      <w:szCs w:val="20"/>
    </w:rPr>
  </w:style>
  <w:style w:type="paragraph" w:customStyle="1" w:styleId="TableTitle">
    <w:name w:val="Table Title"/>
    <w:basedOn w:val="Normal"/>
    <w:link w:val="TableTitleChar"/>
    <w:qFormat/>
    <w:rsid w:val="00D5644B"/>
    <w:pPr>
      <w:spacing w:before="120" w:after="40"/>
      <w:jc w:val="center"/>
    </w:pPr>
    <w:rPr>
      <w:rFonts w:ascii="Book Antiqua" w:hAnsi="Book Antiqua"/>
      <w:b/>
      <w:sz w:val="20"/>
    </w:rPr>
  </w:style>
  <w:style w:type="paragraph" w:customStyle="1" w:styleId="TableDescription">
    <w:name w:val="Table Description"/>
    <w:basedOn w:val="Normal"/>
    <w:link w:val="TableDescriptionChar"/>
    <w:qFormat/>
    <w:rsid w:val="00D5644B"/>
    <w:pPr>
      <w:spacing w:before="120" w:after="40"/>
      <w:jc w:val="center"/>
    </w:pPr>
    <w:rPr>
      <w:rFonts w:ascii="Book Antiqua" w:hAnsi="Book Antiqua"/>
      <w:sz w:val="20"/>
    </w:rPr>
  </w:style>
  <w:style w:type="character" w:customStyle="1" w:styleId="TableTitleChar">
    <w:name w:val="Table Title Char"/>
    <w:basedOn w:val="DefaultParagraphFont"/>
    <w:link w:val="TableTitle"/>
    <w:rsid w:val="00D5644B"/>
    <w:rPr>
      <w:rFonts w:ascii="Book Antiqua" w:hAnsi="Book Antiqua"/>
      <w:b/>
      <w:sz w:val="20"/>
    </w:rPr>
  </w:style>
  <w:style w:type="character" w:customStyle="1" w:styleId="TableDescriptionChar">
    <w:name w:val="Table Description Char"/>
    <w:basedOn w:val="DefaultParagraphFont"/>
    <w:link w:val="TableDescription"/>
    <w:rsid w:val="00D5644B"/>
    <w:rPr>
      <w:rFonts w:ascii="Book Antiqua" w:hAnsi="Book Antiqua"/>
      <w:sz w:val="20"/>
    </w:rPr>
  </w:style>
  <w:style w:type="paragraph" w:customStyle="1" w:styleId="FigureTitle">
    <w:name w:val="Figure Title"/>
    <w:basedOn w:val="Normal"/>
    <w:link w:val="FigureTitleChar"/>
    <w:qFormat/>
    <w:rsid w:val="00D5644B"/>
    <w:pPr>
      <w:spacing w:before="120" w:after="120" w:line="240" w:lineRule="auto"/>
      <w:jc w:val="center"/>
    </w:pPr>
    <w:rPr>
      <w:rFonts w:ascii="Book Antiqua" w:hAnsi="Book Antiqua"/>
      <w:b/>
      <w:sz w:val="20"/>
    </w:rPr>
  </w:style>
  <w:style w:type="paragraph" w:customStyle="1" w:styleId="FigureDescription">
    <w:name w:val="Figure Description"/>
    <w:basedOn w:val="Normal"/>
    <w:link w:val="FigureDescriptionChar"/>
    <w:qFormat/>
    <w:rsid w:val="00D5644B"/>
    <w:pPr>
      <w:spacing w:before="120" w:after="120" w:line="240" w:lineRule="auto"/>
      <w:jc w:val="center"/>
    </w:pPr>
    <w:rPr>
      <w:rFonts w:ascii="Book Antiqua" w:hAnsi="Book Antiqua"/>
      <w:sz w:val="20"/>
    </w:rPr>
  </w:style>
  <w:style w:type="character" w:customStyle="1" w:styleId="FigureTitleChar">
    <w:name w:val="Figure Title Char"/>
    <w:basedOn w:val="DefaultParagraphFont"/>
    <w:link w:val="FigureTitle"/>
    <w:rsid w:val="00D5644B"/>
    <w:rPr>
      <w:rFonts w:ascii="Book Antiqua" w:hAnsi="Book Antiqua"/>
      <w:b/>
      <w:sz w:val="20"/>
    </w:rPr>
  </w:style>
  <w:style w:type="paragraph" w:customStyle="1" w:styleId="NotesandSourcesItalic">
    <w:name w:val="Notes and Sources Italic"/>
    <w:basedOn w:val="Normal"/>
    <w:link w:val="NotesandSourcesItalicChar"/>
    <w:qFormat/>
    <w:rsid w:val="00D5644B"/>
    <w:pPr>
      <w:spacing w:after="120" w:line="240" w:lineRule="auto"/>
    </w:pPr>
    <w:rPr>
      <w:rFonts w:ascii="Book Antiqua" w:hAnsi="Book Antiqua"/>
      <w:i/>
      <w:sz w:val="18"/>
      <w:szCs w:val="20"/>
    </w:rPr>
  </w:style>
  <w:style w:type="character" w:customStyle="1" w:styleId="FigureDescriptionChar">
    <w:name w:val="Figure Description Char"/>
    <w:basedOn w:val="DefaultParagraphFont"/>
    <w:link w:val="FigureDescription"/>
    <w:rsid w:val="00D5644B"/>
    <w:rPr>
      <w:rFonts w:ascii="Book Antiqua" w:hAnsi="Book Antiqua"/>
      <w:sz w:val="20"/>
    </w:rPr>
  </w:style>
  <w:style w:type="paragraph" w:customStyle="1" w:styleId="NotesandSourcesText">
    <w:name w:val="Notes and Sources Text"/>
    <w:basedOn w:val="Normal"/>
    <w:link w:val="NotesandSourcesTextChar"/>
    <w:qFormat/>
    <w:rsid w:val="00D5644B"/>
    <w:pPr>
      <w:spacing w:after="120" w:line="240" w:lineRule="auto"/>
    </w:pPr>
    <w:rPr>
      <w:rFonts w:ascii="Book Antiqua" w:hAnsi="Book Antiqua"/>
      <w:sz w:val="18"/>
      <w:szCs w:val="20"/>
    </w:rPr>
  </w:style>
  <w:style w:type="character" w:customStyle="1" w:styleId="NotesandSourcesItalicChar">
    <w:name w:val="Notes and Sources Italic Char"/>
    <w:basedOn w:val="DefaultParagraphFont"/>
    <w:link w:val="NotesandSourcesItalic"/>
    <w:rsid w:val="00D5644B"/>
    <w:rPr>
      <w:rFonts w:ascii="Book Antiqua" w:hAnsi="Book Antiqua"/>
      <w:i/>
      <w:sz w:val="18"/>
      <w:szCs w:val="20"/>
    </w:rPr>
  </w:style>
  <w:style w:type="character" w:customStyle="1" w:styleId="NotesandSourcesTextChar">
    <w:name w:val="Notes and Sources Text Char"/>
    <w:basedOn w:val="DefaultParagraphFont"/>
    <w:link w:val="NotesandSourcesText"/>
    <w:rsid w:val="00D5644B"/>
    <w:rPr>
      <w:rFonts w:ascii="Book Antiqua" w:hAnsi="Book Antiqua"/>
      <w:sz w:val="18"/>
      <w:szCs w:val="20"/>
    </w:rPr>
  </w:style>
  <w:style w:type="character" w:styleId="CommentReference">
    <w:name w:val="annotation reference"/>
    <w:basedOn w:val="DefaultParagraphFont"/>
    <w:uiPriority w:val="99"/>
    <w:semiHidden/>
    <w:unhideWhenUsed/>
    <w:rsid w:val="0001011E"/>
    <w:rPr>
      <w:sz w:val="16"/>
      <w:szCs w:val="16"/>
    </w:rPr>
  </w:style>
  <w:style w:type="paragraph" w:styleId="CommentText">
    <w:name w:val="annotation text"/>
    <w:basedOn w:val="Normal"/>
    <w:link w:val="CommentTextChar"/>
    <w:uiPriority w:val="99"/>
    <w:semiHidden/>
    <w:unhideWhenUsed/>
    <w:rsid w:val="0001011E"/>
    <w:pPr>
      <w:spacing w:line="240" w:lineRule="auto"/>
    </w:pPr>
    <w:rPr>
      <w:sz w:val="20"/>
      <w:szCs w:val="20"/>
    </w:rPr>
  </w:style>
  <w:style w:type="character" w:customStyle="1" w:styleId="CommentTextChar">
    <w:name w:val="Comment Text Char"/>
    <w:basedOn w:val="DefaultParagraphFont"/>
    <w:link w:val="CommentText"/>
    <w:uiPriority w:val="99"/>
    <w:semiHidden/>
    <w:rsid w:val="0001011E"/>
    <w:rPr>
      <w:sz w:val="20"/>
      <w:szCs w:val="20"/>
    </w:rPr>
  </w:style>
  <w:style w:type="paragraph" w:styleId="CommentSubject">
    <w:name w:val="annotation subject"/>
    <w:basedOn w:val="CommentText"/>
    <w:next w:val="CommentText"/>
    <w:link w:val="CommentSubjectChar"/>
    <w:uiPriority w:val="99"/>
    <w:semiHidden/>
    <w:unhideWhenUsed/>
    <w:rsid w:val="0001011E"/>
    <w:rPr>
      <w:b/>
      <w:bCs/>
    </w:rPr>
  </w:style>
  <w:style w:type="character" w:customStyle="1" w:styleId="CommentSubjectChar">
    <w:name w:val="Comment Subject Char"/>
    <w:basedOn w:val="CommentTextChar"/>
    <w:link w:val="CommentSubject"/>
    <w:uiPriority w:val="99"/>
    <w:semiHidden/>
    <w:rsid w:val="0001011E"/>
    <w:rPr>
      <w:b/>
      <w:bCs/>
      <w:sz w:val="20"/>
      <w:szCs w:val="20"/>
    </w:rPr>
  </w:style>
  <w:style w:type="paragraph" w:customStyle="1" w:styleId="Equation">
    <w:name w:val="Equation"/>
    <w:basedOn w:val="Normal"/>
    <w:rsid w:val="002731F2"/>
    <w:pPr>
      <w:spacing w:before="120" w:after="120" w:line="240" w:lineRule="auto"/>
      <w:jc w:val="center"/>
    </w:pPr>
    <w:rPr>
      <w:rFonts w:ascii="Cambria Math" w:hAnsi="Cambria Math"/>
      <w:i/>
      <w:iCs/>
    </w:rPr>
  </w:style>
  <w:style w:type="paragraph" w:customStyle="1" w:styleId="Equationnumber">
    <w:name w:val="Equation number"/>
    <w:basedOn w:val="Normal"/>
    <w:rsid w:val="001E3DE9"/>
    <w:pPr>
      <w:spacing w:before="120" w:after="120" w:line="240" w:lineRule="auto"/>
      <w:jc w:val="right"/>
    </w:pPr>
    <w:rPr>
      <w:rFonts w:ascii="Palatino Linotype" w:hAnsi="Palatino Linotype"/>
      <w:szCs w:val="24"/>
    </w:rPr>
  </w:style>
  <w:style w:type="paragraph" w:customStyle="1" w:styleId="References">
    <w:name w:val="References"/>
    <w:basedOn w:val="Normal"/>
    <w:link w:val="ReferencesChar"/>
    <w:qFormat/>
    <w:rsid w:val="00D5644B"/>
    <w:pPr>
      <w:spacing w:after="0" w:line="240" w:lineRule="auto"/>
      <w:ind w:left="288" w:hanging="288"/>
      <w:jc w:val="both"/>
    </w:pPr>
    <w:rPr>
      <w:rFonts w:ascii="Book Antiqua" w:hAnsi="Book Antiqua"/>
      <w:szCs w:val="24"/>
    </w:rPr>
  </w:style>
  <w:style w:type="character" w:customStyle="1" w:styleId="ReferencesChar">
    <w:name w:val="References Char"/>
    <w:basedOn w:val="DefaultParagraphFont"/>
    <w:link w:val="References"/>
    <w:rsid w:val="00D5644B"/>
    <w:rPr>
      <w:rFonts w:ascii="Book Antiqua" w:hAnsi="Book Antiqua"/>
      <w:szCs w:val="24"/>
    </w:rPr>
  </w:style>
  <w:style w:type="paragraph" w:customStyle="1" w:styleId="Bulletedlist">
    <w:name w:val="Bulleted list"/>
    <w:basedOn w:val="ListParagraph"/>
    <w:rsid w:val="00F263DD"/>
    <w:pPr>
      <w:numPr>
        <w:numId w:val="1"/>
      </w:numPr>
      <w:spacing w:before="120" w:after="120" w:line="240" w:lineRule="auto"/>
      <w:ind w:left="792"/>
      <w:jc w:val="both"/>
    </w:pPr>
    <w:rPr>
      <w:rFonts w:ascii="Palatino Linotype" w:hAnsi="Palatino Linotype"/>
    </w:rPr>
  </w:style>
  <w:style w:type="paragraph" w:customStyle="1" w:styleId="Numberedlist">
    <w:name w:val="Numbered list"/>
    <w:basedOn w:val="ListParagraph"/>
    <w:rsid w:val="00F263DD"/>
    <w:pPr>
      <w:numPr>
        <w:numId w:val="2"/>
      </w:numPr>
      <w:spacing w:before="120" w:after="120" w:line="240" w:lineRule="auto"/>
      <w:ind w:left="792"/>
      <w:jc w:val="both"/>
    </w:pPr>
    <w:rPr>
      <w:rFonts w:ascii="Palatino Linotype" w:hAnsi="Palatino Linotype"/>
    </w:rPr>
  </w:style>
  <w:style w:type="paragraph" w:customStyle="1" w:styleId="Style1">
    <w:name w:val="Style1"/>
    <w:basedOn w:val="References"/>
    <w:rsid w:val="001158D9"/>
  </w:style>
  <w:style w:type="paragraph" w:customStyle="1" w:styleId="Style2">
    <w:name w:val="Style2"/>
    <w:basedOn w:val="References"/>
    <w:rsid w:val="00EE4E1E"/>
  </w:style>
  <w:style w:type="character" w:styleId="FollowedHyperlink">
    <w:name w:val="FollowedHyperlink"/>
    <w:basedOn w:val="DefaultParagraphFont"/>
    <w:uiPriority w:val="99"/>
    <w:semiHidden/>
    <w:unhideWhenUsed/>
    <w:rsid w:val="00DF05E8"/>
    <w:rPr>
      <w:color w:val="954F72" w:themeColor="followedHyperlink"/>
      <w:u w:val="single"/>
    </w:rPr>
  </w:style>
  <w:style w:type="paragraph" w:customStyle="1" w:styleId="Style3">
    <w:name w:val="Style3"/>
    <w:basedOn w:val="References"/>
    <w:rsid w:val="00DF05E8"/>
  </w:style>
  <w:style w:type="paragraph" w:customStyle="1" w:styleId="Listing-firstline">
    <w:name w:val="Listing - first line"/>
    <w:basedOn w:val="Computercode-firstline"/>
    <w:rsid w:val="00183F7C"/>
    <w:pPr>
      <w:pBdr>
        <w:top w:val="single" w:sz="4" w:space="1" w:color="auto"/>
      </w:pBdr>
    </w:pPr>
  </w:style>
  <w:style w:type="paragraph" w:customStyle="1" w:styleId="Listing-lastline">
    <w:name w:val="Listing - last line"/>
    <w:basedOn w:val="Computercode-lastline"/>
    <w:rsid w:val="00183F7C"/>
    <w:pPr>
      <w:pBdr>
        <w:bottom w:val="single" w:sz="4" w:space="1" w:color="auto"/>
      </w:pBdr>
    </w:pPr>
  </w:style>
  <w:style w:type="paragraph" w:customStyle="1" w:styleId="Style4">
    <w:name w:val="Style4"/>
    <w:basedOn w:val="References"/>
    <w:rsid w:val="000E2489"/>
  </w:style>
  <w:style w:type="paragraph" w:customStyle="1" w:styleId="Reference-hyperlink">
    <w:name w:val="Reference - hyperlink"/>
    <w:basedOn w:val="References"/>
    <w:link w:val="Reference-hyperlinkChar"/>
    <w:rsid w:val="006F56EF"/>
    <w:rPr>
      <w:color w:val="000080"/>
    </w:rPr>
  </w:style>
  <w:style w:type="character" w:customStyle="1" w:styleId="Reference-hyperlinkChar">
    <w:name w:val="Reference - hyperlink Char"/>
    <w:basedOn w:val="ReferencesChar"/>
    <w:link w:val="Reference-hyperlink"/>
    <w:rsid w:val="006F56EF"/>
    <w:rPr>
      <w:rFonts w:ascii="Palatino Linotype" w:hAnsi="Palatino Linotype"/>
      <w:color w:val="000080"/>
      <w:szCs w:val="24"/>
    </w:rPr>
  </w:style>
  <w:style w:type="paragraph" w:styleId="EndnoteText">
    <w:name w:val="endnote text"/>
    <w:basedOn w:val="Normal"/>
    <w:link w:val="EndnoteTextChar"/>
    <w:uiPriority w:val="99"/>
    <w:semiHidden/>
    <w:unhideWhenUsed/>
    <w:rsid w:val="009B123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B1237"/>
    <w:rPr>
      <w:sz w:val="20"/>
      <w:szCs w:val="20"/>
    </w:rPr>
  </w:style>
  <w:style w:type="character" w:styleId="EndnoteReference">
    <w:name w:val="endnote reference"/>
    <w:basedOn w:val="DefaultParagraphFont"/>
    <w:uiPriority w:val="99"/>
    <w:semiHidden/>
    <w:unhideWhenUsed/>
    <w:rsid w:val="009B1237"/>
    <w:rPr>
      <w:vertAlign w:val="superscript"/>
    </w:rPr>
  </w:style>
  <w:style w:type="character" w:styleId="PlaceholderText">
    <w:name w:val="Placeholder Text"/>
    <w:uiPriority w:val="99"/>
    <w:semiHidden/>
    <w:rsid w:val="008F175B"/>
    <w:rPr>
      <w:color w:val="808080"/>
    </w:rPr>
  </w:style>
  <w:style w:type="table" w:customStyle="1" w:styleId="TableGrid2">
    <w:name w:val="Table Grid2"/>
    <w:basedOn w:val="TableNormal"/>
    <w:next w:val="TableGrid"/>
    <w:uiPriority w:val="39"/>
    <w:rsid w:val="008F175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75E6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06462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psmodels.com/gprdyn.ht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eters83\AppData\Local\Temp\WK_12.9.15.%20%20JGEA%20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0434F4-EC89-4656-B093-3065AB51B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WK_12.9.15.  JGEA template-2.dotx</Template>
  <TotalTime>40</TotalTime>
  <Pages>5</Pages>
  <Words>1211</Words>
  <Characters>6905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Massachusetts Institute of Technology</Company>
  <LinksUpToDate>false</LinksUpToDate>
  <CharactersWithSpaces>8100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Peters, Jeffrey C</dc:creator>
  <cp:lastModifiedBy>Kavitha Srikanth</cp:lastModifiedBy>
  <cp:revision>254</cp:revision>
  <cp:lastPrinted>2017-05-14T15:58:00Z</cp:lastPrinted>
  <dcterms:created xsi:type="dcterms:W3CDTF">2022-11-07T19:53:00Z</dcterms:created>
  <dcterms:modified xsi:type="dcterms:W3CDTF">2025-06-26T22:30:00Z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American Psychological Association 6th Edition</vt:lpwstr>
  </property>
  <property fmtid="{D5CDD505-2E9C-101B-9397-08002B2CF9AE}" pid="3" name="MSIP_Label_f7606f69-b0ae-4874-be30-7d43a3c7be10_Enabled">
    <vt:lpwstr>true</vt:lpwstr>
  </property>
  <property fmtid="{D5CDD505-2E9C-101B-9397-08002B2CF9AE}" pid="4" name="MSIP_Label_f7606f69-b0ae-4874-be30-7d43a3c7be10_SetDate">
    <vt:lpwstr>2025-06-09T08:45:39Z</vt:lpwstr>
  </property>
  <property fmtid="{D5CDD505-2E9C-101B-9397-08002B2CF9AE}" pid="5" name="MSIP_Label_f7606f69-b0ae-4874-be30-7d43a3c7be10_Method">
    <vt:lpwstr>Standard</vt:lpwstr>
  </property>
  <property fmtid="{D5CDD505-2E9C-101B-9397-08002B2CF9AE}" pid="6" name="MSIP_Label_f7606f69-b0ae-4874-be30-7d43a3c7be10_Name">
    <vt:lpwstr>defa4170-0d19-0005-0001-bc88714345d2</vt:lpwstr>
  </property>
  <property fmtid="{D5CDD505-2E9C-101B-9397-08002B2CF9AE}" pid="7" name="MSIP_Label_f7606f69-b0ae-4874-be30-7d43a3c7be10_SiteId">
    <vt:lpwstr>4130bd39-7c53-419c-b1e5-8758d6d63f21</vt:lpwstr>
  </property>
  <property fmtid="{D5CDD505-2E9C-101B-9397-08002B2CF9AE}" pid="8" name="MSIP_Label_f7606f69-b0ae-4874-be30-7d43a3c7be10_ActionId">
    <vt:lpwstr>ffa8062a-d428-41ef-9b14-a7b6b1f20ca5</vt:lpwstr>
  </property>
  <property fmtid="{D5CDD505-2E9C-101B-9397-08002B2CF9AE}" pid="9" name="MSIP_Label_f7606f69-b0ae-4874-be30-7d43a3c7be10_ContentBits">
    <vt:lpwstr>0</vt:lpwstr>
  </property>
  <property fmtid="{D5CDD505-2E9C-101B-9397-08002B2CF9AE}" pid="10" name="MSIP_Label_f7606f69-b0ae-4874-be30-7d43a3c7be10_Tag">
    <vt:lpwstr>10, 3, 0, 1</vt:lpwstr>
  </property>
</Properties>
</file>